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Stratégie</w:t>
      </w:r>
      <w:r>
        <w:t xml:space="preserve"> </w:t>
      </w:r>
      <w:r>
        <w:t xml:space="preserve">américaine</w:t>
      </w:r>
      <w:r>
        <w:t xml:space="preserve"> </w:t>
      </w:r>
      <w:r>
        <w:t xml:space="preserve">pour</w:t>
      </w:r>
      <w:r>
        <w:t xml:space="preserve"> </w:t>
      </w:r>
      <w:r>
        <w:t xml:space="preserve">Prévention</w:t>
      </w:r>
      <w:r>
        <w:t xml:space="preserve"> </w:t>
      </w:r>
      <w:r>
        <w:t xml:space="preserve">des</w:t>
      </w:r>
      <w:r>
        <w:t xml:space="preserve"> </w:t>
      </w:r>
      <w:r>
        <w:t xml:space="preserve">Conflits</w:t>
      </w:r>
      <w:r>
        <w:t xml:space="preserve"> </w:t>
      </w:r>
      <w:r>
        <w:t xml:space="preserve">et</w:t>
      </w:r>
      <w:r>
        <w:t xml:space="preserve"> </w:t>
      </w:r>
      <w:r>
        <w:t xml:space="preserve">la</w:t>
      </w:r>
      <w:r>
        <w:t xml:space="preserve"> </w:t>
      </w:r>
      <w:r>
        <w:t xml:space="preserve">promotion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Stabilité</w:t>
      </w:r>
      <w:r>
        <w:t xml:space="preserve"> </w:t>
      </w:r>
      <w:r>
        <w:t xml:space="preserve">(SPCPS)</w:t>
      </w:r>
      <w:r>
        <w:t xml:space="preserve"> </w:t>
      </w:r>
      <w:r>
        <w:t xml:space="preserve">dans</w:t>
      </w:r>
      <w:r>
        <w:t xml:space="preserve"> </w:t>
      </w:r>
      <w:r>
        <w:t xml:space="preserve">les</w:t>
      </w:r>
      <w:r>
        <w:t xml:space="preserve"> </w:t>
      </w:r>
      <w:r>
        <w:t xml:space="preserve">pays</w:t>
      </w:r>
      <w:r>
        <w:t xml:space="preserve"> </w:t>
      </w:r>
      <w:r>
        <w:t xml:space="preserve">de</w:t>
      </w:r>
      <w:r>
        <w:t xml:space="preserve"> </w:t>
      </w:r>
      <w:r>
        <w:t xml:space="preserve">l’Afrique</w:t>
      </w:r>
      <w:r>
        <w:t xml:space="preserve"> </w:t>
      </w:r>
      <w:r>
        <w:t xml:space="preserve">de</w:t>
      </w:r>
      <w:r>
        <w:t xml:space="preserve"> </w:t>
      </w:r>
      <w:r>
        <w:t xml:space="preserve">l’Ouest</w:t>
      </w:r>
      <w:r>
        <w:t xml:space="preserve"> </w:t>
      </w:r>
      <w:r>
        <w:t xml:space="preserve">côtière</w:t>
      </w:r>
      <w:r>
        <w:t xml:space="preserve"> </w:t>
      </w:r>
      <w:r>
        <w:t xml:space="preserve">(CWA)</w:t>
      </w:r>
      <w:r>
        <w:t xml:space="preserve"> </w:t>
      </w:r>
      <w:r>
        <w:t xml:space="preserve">–</w:t>
      </w:r>
      <w:r>
        <w:t xml:space="preserve"> </w:t>
      </w:r>
      <w:r>
        <w:t xml:space="preserve">Analyse</w:t>
      </w:r>
      <w:r>
        <w:t xml:space="preserve"> </w:t>
      </w:r>
      <w:r>
        <w:t xml:space="preserve">de</w:t>
      </w:r>
      <w:r>
        <w:t xml:space="preserve"> </w:t>
      </w:r>
      <w:r>
        <w:t xml:space="preserve">référence</w:t>
      </w:r>
    </w:p>
    <w:p>
      <w:pPr>
        <w:pStyle w:val="Author"/>
      </w:pPr>
      <w:r>
        <w:t xml:space="preserve">CEJUS</w:t>
      </w:r>
      <w:r>
        <w:t xml:space="preserve"> </w:t>
      </w:r>
      <w:r>
        <w:t xml:space="preserve">TOGO</w:t>
      </w:r>
    </w:p>
    <w:p>
      <w:pPr>
        <w:pStyle w:val="Date"/>
      </w:pPr>
      <w:r>
        <w:t xml:space="preserve">2025-01-03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1" w:name="résumé-exécuti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Résumé Exécutif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bookmarkEnd w:id="22"/>
    <w:bookmarkStart w:id="31" w:name="méthodologi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Méthodologies</w:t>
      </w:r>
    </w:p>
    <w:bookmarkStart w:id="26" w:name="X800981f4db8371e75be42089c7d993bd79b753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Caractéristiques socio-démographiques de l’échantillon pour les données quantitatives</w:t>
      </w:r>
    </w:p>
    <w:bookmarkStart w:id="23" w:name="Xa53f4c3ff74d77948e7e9f7d749c19c906006c0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Répartition des enquêtés suivant la tranche d’âge et le sexe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DM1.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18 – 25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26 - 35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36 - 45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46 - 55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56 +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DM2.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Pearson's Chi-squared test, 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Table 1. Echantillon suivant la tranche d’âge et le sexe</w:t>
            </w:r>
          </w:p>
        </w:tc>
      </w:tr>
    </w:tbl>
    <w:p>
      <w:pPr>
        <w:pStyle w:val="FirstParagraph"/>
      </w:pPr>
      <w:r>
        <w:t xml:space="preserve">Les résultats montrent une légère dominance des femmes dans les tranches d’âge jeunes (18-25 ans : 53.7%, 26-35 ans : 51.7%), tandis que les hommes sont majoritaires dans les tranches d’âge plus élevées (46-55 ans : 67.1%, 56+ ans : 77.4%). Ces résultats sont cohérents avec les tendances nationales montrant une population féminine jeune plus importante</w:t>
      </w:r>
    </w:p>
    <w:bookmarkEnd w:id="23"/>
    <w:bookmarkStart w:id="24" w:name="X1acfcd93578e31bd384b333248e9b2d0aedb1c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Echantillon définitif suivant le niveau d’étude, la religion d’appartenance et la région de provenance des enquêtés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Traitement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Centrale</w:t>
            </w:r>
            <w:r>
              <w:rPr>
                <w:rFonts w:ascii="Calibri" w:hAnsi="Calibri"/>
                <w:sz w:val="20"/>
              </w:rPr>
              <w:t xml:space="preserve"> (n=221, 25%)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Kara</w:t>
            </w:r>
            <w:r>
              <w:rPr>
                <w:rFonts w:ascii="Calibri" w:hAnsi="Calibri"/>
                <w:sz w:val="20"/>
              </w:rPr>
              <w:t xml:space="preserve"> (n=350, 40%)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Savanes</w:t>
            </w:r>
            <w:r>
              <w:rPr>
                <w:rFonts w:ascii="Calibri" w:hAnsi="Calibri"/>
                <w:sz w:val="20"/>
              </w:rPr>
              <w:t xml:space="preserve"> (n=303, 35%)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 (n=874)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Level of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Junior High School (JHS)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Senior High School (SHS)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formal eduation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Tertiary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Vocational/Technical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Traditional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Prefer not to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%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4"/>
    <w:bookmarkStart w:id="25" w:name="X195a6a6f4d2e6e069494a29535cfe684246d392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Echantillon définitif suivant e groupe ethnique et la région de provenance des enquêtés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Traitement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Centrale</w:t>
            </w:r>
            <w:r>
              <w:rPr>
                <w:rFonts w:ascii="Calibri" w:hAnsi="Calibri"/>
                <w:sz w:val="20"/>
              </w:rPr>
              <w:t xml:space="preserve"> (n=221, 25%)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Kara</w:t>
            </w:r>
            <w:r>
              <w:rPr>
                <w:rFonts w:ascii="Calibri" w:hAnsi="Calibri"/>
                <w:sz w:val="20"/>
              </w:rPr>
              <w:t xml:space="preserve"> (n=350, 40%)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Savanes</w:t>
            </w:r>
            <w:r>
              <w:rPr>
                <w:rFonts w:ascii="Calibri" w:hAnsi="Calibri"/>
                <w:sz w:val="20"/>
              </w:rPr>
              <w:t xml:space="preserve"> (n=303, 35%)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  <w:r>
              <w:rPr>
                <w:rFonts w:ascii="Calibri" w:hAnsi="Calibri"/>
                <w:sz w:val="20"/>
              </w:rPr>
              <w:t xml:space="preserve"> (n=874)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Kabye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Fulbe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Anufo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Konkomba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Losso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Ana Ifè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Gurma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Mooré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Gamgam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Tchamba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Kotokoli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Mamprussi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Lokpa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Bassar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N'gangam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Akposso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Goubi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Lougba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Agnagan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Alouh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Awousa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Baréba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Dagomba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Hausa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Kanboli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Keré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Laré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Lassa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Mossi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Naoda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Nawda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Omontè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Yoruba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%</w:t>
            </w:r>
          </w:p>
        </w:tc>
      </w:tr>
    </w:tbl>
    <w:bookmarkEnd w:id="25"/>
    <w:bookmarkEnd w:id="26"/>
    <w:bookmarkStart w:id="30" w:name="including-plot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pport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Stratégie américaine pour Prévention des Conflits et la promotion de la Stabilité (SPCPS) dans les pays de l’Afrique de l’Ouest côtière (CWA) – Analyse de référence</dc:title>
  <dc:creator>CEJUS TOGO</dc:creator>
  <cp:keywords/>
  <dcterms:created xsi:type="dcterms:W3CDTF">2025-01-10T18:33:34Z</dcterms:created>
  <dcterms:modified xsi:type="dcterms:W3CDTF">2025-01-10T18:33:34Z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2025-01-03</vt:lpwstr>
  </property>
  <property fmtid="{D5CDD505-2E9C-101B-9397-08002B2CF9AE}" pid="3" name="link-citations">
    <vt:lpwstr>True</vt:lpwstr>
  </property>
  <property fmtid="{D5CDD505-2E9C-101B-9397-08002B2CF9AE}" pid="4" name="linkcolor">
    <vt:lpwstr>blue</vt:lpwstr>
  </property>
  <property fmtid="{D5CDD505-2E9C-101B-9397-08002B2CF9AE}" pid="5" name="output">
    <vt:lpwstr/>
  </property>
  <property fmtid="{D5CDD505-2E9C-101B-9397-08002B2CF9AE}" pid="6" name="urlcolor">
    <vt:lpwstr>red</vt:lpwstr>
  </property>
</Properties>
</file>