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LAPORAN MONITORING DAN EVALUASI BERKALA</w:t>
        <w:br/>
        <w:t>KINERJA SISTEM PENGHUBUNG LAYANAN PEMERINTAH (SPLP)</w:t>
        <w:br/>
        <w:t>TAHUN 2026</w:t>
        <w:br/>
      </w:r>
    </w:p>
    <w:p>
      <w:pPr>
        <w:jc w:val="center"/>
      </w:pPr>
      <w:r>
        <w:rPr>
          <w:i/>
        </w:rPr>
        <w:t>Bukti Evaluasi Indikator 07 PermenPANRB No. 8/2026 - Tingkat Optimum (Level 5)</w:t>
        <w:br/>
      </w:r>
    </w:p>
    <w:p>
      <w:pPr>
        <w:pStyle w:val="Heading2"/>
      </w:pPr>
      <w:r>
        <w:rPr>
          <w:color w:val="1F4E79"/>
        </w:rPr>
        <w:t>1. RINGKASAN EKSEKUTIF</w:t>
      </w:r>
    </w:p>
    <w:p>
      <w:r>
        <w:t>Sepanjang Semester I Tahun 2026, Sistem Penghubung Layanan Pemerintah (SPLP) instansi telah melayani total 2.450.890 panggilan API dari 18 Perangkat Daerah dan 3 instansi pusat (Kemendagri Dukcapil, Kementerian Komdigi, dan BKN). Rata-rata ketersediaan layanan (Uptime) mencapai 99.85% dengan rata-rata waktu respon sebesar 185 milidetik.</w:t>
      </w:r>
    </w:p>
    <w:p>
      <w:pPr>
        <w:pStyle w:val="Heading2"/>
      </w:pPr>
      <w:r>
        <w:rPr>
          <w:color w:val="1F4E79"/>
        </w:rPr>
        <w:t>2. REKAPITULASI METRIK KINERJA LAYANAN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Parameter Kinerja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Target SLA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Realisasi Semester I 2026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Total API Aktif Terdaftar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 Endpoint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32 Endpoint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Tingkat Ketersediaan (Uptime)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99.50%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99.85% (Memenuhi Target)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Rata-Rata Latensi Respon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&lt; 300 ms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185 ms (Sangat Baik)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Error Rate (HTTP 5xx)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&lt; 0.5%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0.08%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Integrasi ke SPLP Nasional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Terhubung Aktif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Terhubung Aktif (Katalog Komdigi)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3. ANALISIS KENDALA &amp; TINDAK LANJUT PERBAIKAN</w:t>
      </w:r>
    </w:p>
    <w:p>
      <w:r>
        <w:t>1. Lonjakan Traffic saat Pendaftaran Bansos/PPDB:</w:t>
        <w:br/>
        <w:t xml:space="preserve">   Terjadi peningkatan beban request hingga 5x lipat. Tindak lanjut: Diterapkan fitur Rate Limiting dinamis dan Redis Caching pada endpoint data sekolah.</w:t>
        <w:br/>
        <w:br/>
        <w:t>2. Keamanan Token API:</w:t>
        <w:br/>
        <w:t xml:space="preserve">   Dilakukan rotasi rutin kunci API setiap 90 hari dan adopsi enkripsi JWT payload untuk data pribadi.</w:t>
      </w:r>
    </w:p>
    <w:p>
      <w:pPr>
        <w:pStyle w:val="Heading2"/>
      </w:pPr>
      <w:r>
        <w:rPr>
          <w:color w:val="1F4E79"/>
        </w:rPr>
        <w:t>4. REKOMENDASI UNTUK PERIODE BERIKUTNYA</w:t>
      </w:r>
    </w:p>
    <w:p>
      <w:r>
        <w:t>1. Menambah 10 endpoint API baru untuk integrasi Portal Satu Sehat Kemenkes dan Layanan Pajak Daerah.</w:t>
        <w:br/>
        <w:t>2. Meningkatkan kapasitas load balancer API Gateway guna menyambut integrasi INA Digital Nasional.</w:t>
        <w:br/>
        <w:t>3. Melakukan simulasi failover recovery SPLP semi-tahunan.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