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DAERAH / KEMENTERIAN / LEMBAGA [NAMA INSTANSI]</w:t>
        <w:br/>
      </w:r>
      <w:r>
        <w:rPr>
          <w:b/>
          <w:sz w:val="26"/>
        </w:rPr>
        <w:t>DINAS KOMUNIKASI DAN INFORMATIKA / PUSAT DATA DAN INFORMASI</w:t>
        <w:br/>
      </w:r>
      <w:r>
        <w:rPr>
          <w:color w:val="646464"/>
          <w:sz w:val="18"/>
        </w:rPr>
        <w:t>Jalan Pemerintah Terpadu No. 10, Telp: (021) 7891234, Email: diskominfo@daerah.go.id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pStyle w:val="Heading1"/>
        <w:jc w:val="center"/>
      </w:pPr>
      <w:r>
        <w:rPr>
          <w:b/>
          <w:color w:val="1F4E79"/>
          <w:sz w:val="26"/>
        </w:rPr>
        <w:t>STANDAR OPERASIONAL PROSEDUR (SOP)</w:t>
        <w:br/>
        <w:t>TATA KELOLA INTEGRASI APLIKASI DAN INTEROPERABILITAS SISTEM LAYANAN PEMERINTAH DIGITAL</w:t>
        <w:br/>
        <w:t>NOMOR: SOP/KOMINFO/INT-16/2026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Nomor Dokumen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SOP/DISKOMINFO/INT-16/045/2026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Tanggal Penetapan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15 Januari 2026 (Berlaku Efektif TA 2026)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Dasar Regulasi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 Perpres No. 95 Tahun 2018 tentang SPBE</w:t>
              <w:br/>
              <w:t>2. Perpres No. 132 Tahun 2022 tentang Arsitektur SPBE Nasional</w:t>
              <w:br/>
              <w:t>3. Perpres No. 82 Tahun 2023 tentang Percepatan Transformasi Digital dan Keterpaduan Layanan Digital Nasional</w:t>
              <w:br/>
              <w:t>4. PermenPANRB No. 8 Tahun 2026 tentang Evaluasi Pemerintahan Digital (Indikator 16 Bobot 4%)</w:t>
              <w:br/>
              <w:t>5. UU No. 27 Tahun 2022 tentang Pelindungan Data Pribadi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Ruang Lingkup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Pengaturan permohonan pembukaan antarmuka API, pengujian sandbox, standarisasi data schema JSON, autentikasi token, SLA ketersediaan sistem, dan pemantauan error rate pertukaran data antar-perangkat daerah serta aplikasi umum nasional.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Pihak Terkait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Dinas Komunikasi &amp; Informatika, Seluruh Organisasi Perangkat Daerah (OPD) Pemilik Data &amp; Pengguna Data, Kementerian Pembina Sistem Nasional (Kemendagri, BKN, ANRI, BSSN).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I. TUJUAN DAN PRINSIP DASAR KETERPADUAN SISTEM</w:t>
      </w:r>
    </w:p>
    <w:p>
      <w:r>
        <w:rPr>
          <w:b/>
        </w:rPr>
        <w:t>1.1 Tujuan SOP:</w:t>
        <w:br/>
      </w:r>
      <w:r>
        <w:t>a. Menjamin terwujudnya keterpaduan aplikasi administrasi pemerintahan dan integrasi layanan publik yang bebas dari silo data di lingkungan [Nama Instansi].</w:t>
        <w:br/>
        <w:t>b. Mengeliminasi praktik input data manual berulang (Zero Data Duplication) antar-aplikasi operasional.</w:t>
        <w:br/>
        <w:t>c. Menyelaraskan seluruh pertukaran data elektronik dengan standar Aplikasi Umum Nasional (SIASN BKN, SIPD Kemendagri, SRIKANDI ANRI, dan TTE BSrE BSSN).</w:t>
        <w:br/>
        <w:t>d. Menjamin kelaikan performa, ketersediaan layanan (SLA minimum 99.5%), dan keamanan siber pertukaran data via API terenkripsi.</w:t>
        <w:br/>
        <w:t>e. Memenuhi bukti dukung Tingkat Kematangan Level 3, Level 4, dan Level 5 pada Indikator 16 PermenPANRB Nomor 8 Tahun 2026.</w:t>
        <w:br/>
        <w:br/>
      </w:r>
      <w:r>
        <w:rPr>
          <w:b/>
        </w:rPr>
        <w:t>1.2 Prinsip Dasar Interoperabilitas:</w:t>
        <w:br/>
      </w:r>
      <w:r>
        <w:t>1. Open Standards: Wajib menggunakan protokol terbuka berbasis RESTful Web Service dengan format pertukaran data terstandar JSON/XML over HTTPS (TLS 1.3).</w:t>
        <w:br/>
        <w:t>2. Interoperabilitas Berkelanjutan: Setiap pengembangan aplikasi baru wajib menyediakan modul Application Programming Interface (API) dan webhook yang dapat diintegrasikan dengan sistem lain.</w:t>
        <w:br/>
        <w:t>3. Keamanan dan Audit Trail: Seluruh transmisi pertukaran data harus terekam secara otomatis dalam log audit trail dan dilindungi dengan mekanisme autentikasi OAuth 2.0 / API Key / JWT.</w:t>
        <w:br/>
        <w:t>4. Kepatuhan Pelindungan Data Pribadi: Pemrosesan data yang memuat NIK/data kependudukan wajib tunduk pada UU No. 27 Tahun 2022 (PDP) dengan prinsip enkripsi dan batasan hak akses minimum (least privilege).</w:t>
      </w:r>
    </w:p>
    <w:p>
      <w:pPr>
        <w:pStyle w:val="Heading2"/>
      </w:pPr>
      <w:r>
        <w:rPr>
          <w:color w:val="1F4E79"/>
        </w:rPr>
        <w:t>II. PROSEDUR DAN ALUR TAHAPAN INTEGRASI APLIKASI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Tahap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Aktivitas Prosedural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Pelaksana / Penanggung Jawab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Output / Dokumen Bukti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Tahap 1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Pengajuan Permohonan Integrasi: OPD Pemohon mengajukan permohonan tertulis beserta formulir spesifikasi integrasi (tujuan, data yang dibutuhkan, estimasi volume request harian).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OPD Pemohon / Consumer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Surat Permohonan &amp; Formulir Spesifikasi Integrasi API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Tahap 2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Penelaahan Teknis &amp; Keamanan: Tim Arsitektur SPBE Diskominfo memverifikasi kelaikan keamanan, arsitektur data, dan ketersediaan data contract pada aplikasi sumber.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Tim Arsitektur &amp; Keamanan Diskominfo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Berita Acara Telaah Kelaikan Arsitektur &amp; Keamanan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Tahap 3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Penyusunan Endpoint &amp; Pengujian Sandbox: Tim teknis membuat endpoint API di lingkungan Staging/Sandbox serta melakukan uji coba pertukaran data sintetik.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Tim Pengembang Diskominfo &amp; OPD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Laporan Hasil Uji Coba Sandbox (UAT API Testing)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Tahap 4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Penerbitan Kredensial &amp; Konfigurasi Akses: Diskominfo menerbitkan API Key/Bearer Token dan mendaftarkan IP Whitelist server pemohon pada API Gateway.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Administrator API Gateway Diskominfo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Berita Acara Serah Terima Kredensial &amp; NDA Akses Data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Tahap 5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Deployment ke Lingkungan Produksi: Sistem diaktifkan untuk pertukaran data live dengan pemantauan error rate dan utilisasi sumber daya komputasi.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Tim Operasional TIK &amp; OPD Terkait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Log Aktivasi Koneksi Produksi &amp; Status Live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Tahap 6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Pemantauan SLA &amp; Reviu Berkala: Pemantauan otomatis ketersediaan sistem 24/7, pencatatan waktu henti (downtime), evaluasi efisiensi dan reviu per semester.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Tim Monitoring Diskominfo &amp; Inspektorat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Laporan Bulanan Utilisasi API &amp; Evaluasi Kinerja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III. SERVICE LEVEL AGREEMENT (SLA) &amp; PENANGANAN GANGGUAN</w:t>
      </w:r>
    </w:p>
    <w:p>
      <w:r>
        <w:t>1. Ketersediaan Sistem (Uptime): Target uptime integrasi antarsistem ditetapkan minimal 99.5% per bulan kalender.</w:t>
        <w:br/>
        <w:t>2. Waktu Respons API: Response time rata-rata di bawah 300 milidetik untuk query data transaksional standar.</w:t>
        <w:br/>
        <w:t>3. Manajemen Error &amp; Fallback: Apabila terjadi kegagalan koneksi ke aplikasi pusat (misal: timeout SIASN BKN atau SIPD Kemendagri), sistem lokal wajib menerapkan mekanisme antrean otomatis (Message Queue / Retry Mechanism) tanpa menghilangkan transaksi pengguna.</w:t>
        <w:br/>
        <w:t>4. Maintenance Window: Pemeliharaan terjadwal hanya diperkenankan pada jam non-kerja (Sabtu/Minggu atau pukul 22.00 - 04.00 WIB) dengan pemberitahuan resmi minimal H-2.</w:t>
      </w:r>
    </w:p>
    <w:p>
      <w:r>
        <w:br/>
      </w:r>
    </w:p>
    <w:p>
      <w:pPr>
        <w:jc w:val="right"/>
      </w:pPr>
      <w:r>
        <w:rPr>
          <w:sz w:val="20"/>
        </w:rPr>
        <w:t>Ditetapkan di: [Nama Kota/Kabupaten]</w:t>
        <w:br/>
        <w:t>Pada tanggal: 15 Januari 2026</w:t>
        <w:br/>
        <w:br/>
      </w:r>
      <w:r>
        <w:rPr>
          <w:sz w:val="20"/>
        </w:rPr>
        <w:t>Mengetahui dan Menetapkan,</w:t>
        <w:br/>
      </w:r>
      <w:r>
        <w:rPr>
          <w:b/>
        </w:rPr>
        <w:t>KEPALA DINAS KOMUNIKASI DAN INFORMATIKA</w:t>
        <w:br/>
        <w:t>[NAMA INSTANSI PEMERINTAH]</w:t>
        <w:br/>
        <w:br/>
        <w:br/>
        <w:br/>
        <w:br/>
      </w:r>
      <w:r>
        <w:rPr>
          <w:b/>
        </w:rPr>
        <w:t>[NAMA KEPALA DINAS, S.T., M.Kom.]</w:t>
        <w:br/>
      </w:r>
      <w:r>
        <w:rPr>
          <w:sz w:val="18"/>
        </w:rPr>
        <w:t>Pembina Utama Muda (IV/c)</w:t>
        <w:br/>
        <w:t>NIP. 19760815 200112 1 003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