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PEMERINTAH DAERAH / KEMENTERIAN / LEMBAGA [NAMA INSTANSI]</w:t>
        <w:br/>
      </w:r>
      <w:r>
        <w:rPr>
          <w:b/>
          <w:sz w:val="26"/>
        </w:rPr>
        <w:t>BADAN KEPEGAWAIAN DAN PENGEMBANGAN SUMBER DAYA MANUSIA (BKPSDM) / BIRO SDM</w:t>
        <w:br/>
      </w:r>
      <w:r>
        <w:rPr>
          <w:color w:val="646464"/>
          <w:sz w:val="18"/>
        </w:rPr>
        <w:t>Jalan Praja Mukti No. 10, Telp: (021) 7654321, Email: kepegawaian@daerah.go.id</w:t>
        <w:br/>
      </w:r>
    </w:p>
    <w:p>
      <w:pPr>
        <w:jc w:val="center"/>
      </w:pPr>
      <w:r>
        <w:rPr>
          <w:b/>
        </w:rPr>
        <w:t>=================================================================</w:t>
      </w:r>
    </w:p>
    <w:p>
      <w:pPr>
        <w:pStyle w:val="Heading1"/>
        <w:jc w:val="center"/>
      </w:pPr>
      <w:r>
        <w:rPr>
          <w:b/>
          <w:color w:val="1F4E79"/>
          <w:sz w:val="26"/>
        </w:rPr>
        <w:t>ANALISIS KEBUTUHAN PELATIHAN (TRAINING NEEDS ANALYSIS / TNA)</w:t>
        <w:br/>
        <w:t>DAN RENCANA PENGEMBANGAN KOMPETENSI SUMBER DAYA MANUSIA PEMERINTAH DIGITAL</w:t>
        <w:br/>
        <w:t>TAHUN ANGGARAN 2026 - 2028</w:t>
      </w:r>
    </w:p>
    <w:tbl>
      <w:tblPr>
        <w:tblW w:type="auto" w:w="0"/>
        <w:jc w:val="center"/>
        <w:tblLook w:firstColumn="1" w:firstRow="1" w:lastColumn="0" w:lastRow="0" w:noHBand="0" w:noVBand="1" w:val="04A0"/>
      </w:tblPr>
      <w:tblGrid>
        <w:gridCol w:w="4680"/>
        <w:gridCol w:w="4680"/>
      </w:tblGrid>
      <w:tr>
        <w:tc>
          <w:tcPr>
            <w:tcW w:type="dxa" w:w="3168"/>
            <w:shd w:fill="F2F4F7"/>
            <w:tcMar>
              <w:top w:w="60" w:type="dxa"/>
              <w:bottom w:w="60" w:type="dxa"/>
              <w:left w:w="80" w:type="dxa"/>
              <w:right w:w="80" w:type="dxa"/>
            </w:tcMar>
          </w:tcPr>
          <w:p>
            <w:r>
              <w:rPr>
                <w:b/>
              </w:rPr>
              <w:t>Nomor Dokumen</w:t>
            </w:r>
          </w:p>
        </w:tc>
        <w:tc>
          <w:tcPr>
            <w:tcW w:type="dxa" w:w="6192"/>
            <w:tcMar>
              <w:top w:w="60" w:type="dxa"/>
              <w:bottom w:w="60" w:type="dxa"/>
              <w:left w:w="80" w:type="dxa"/>
              <w:right w:w="80" w:type="dxa"/>
            </w:tcMar>
          </w:tcPr>
          <w:p>
            <w:r>
              <w:t>TNA-SDM-DIGITAL-03/2026</w:t>
            </w:r>
          </w:p>
        </w:tc>
      </w:tr>
      <w:tr>
        <w:tc>
          <w:tcPr>
            <w:tcW w:type="dxa" w:w="3168"/>
            <w:shd w:fill="F2F4F7"/>
            <w:tcMar>
              <w:top w:w="60" w:type="dxa"/>
              <w:bottom w:w="60" w:type="dxa"/>
              <w:left w:w="80" w:type="dxa"/>
              <w:right w:w="80" w:type="dxa"/>
            </w:tcMar>
          </w:tcPr>
          <w:p>
            <w:r>
              <w:rPr>
                <w:b/>
              </w:rPr>
              <w:t>Tahun Penetapan</w:t>
            </w:r>
          </w:p>
        </w:tc>
        <w:tc>
          <w:tcPr>
            <w:tcW w:type="dxa" w:w="6192"/>
            <w:tcMar>
              <w:top w:w="60" w:type="dxa"/>
              <w:bottom w:w="60" w:type="dxa"/>
              <w:left w:w="80" w:type="dxa"/>
              <w:right w:w="80" w:type="dxa"/>
            </w:tcMar>
          </w:tcPr>
          <w:p>
            <w:r>
              <w:t>Januari 2026</w:t>
            </w:r>
          </w:p>
        </w:tc>
      </w:tr>
      <w:tr>
        <w:tc>
          <w:tcPr>
            <w:tcW w:type="dxa" w:w="3168"/>
            <w:shd w:fill="F2F4F7"/>
            <w:tcMar>
              <w:top w:w="60" w:type="dxa"/>
              <w:bottom w:w="60" w:type="dxa"/>
              <w:left w:w="80" w:type="dxa"/>
              <w:right w:w="80" w:type="dxa"/>
            </w:tcMar>
          </w:tcPr>
          <w:p>
            <w:r>
              <w:rPr>
                <w:b/>
              </w:rPr>
              <w:t>Dasar Regulasi</w:t>
            </w:r>
          </w:p>
        </w:tc>
        <w:tc>
          <w:tcPr>
            <w:tcW w:type="dxa" w:w="6192"/>
            <w:tcMar>
              <w:top w:w="60" w:type="dxa"/>
              <w:bottom w:w="60" w:type="dxa"/>
              <w:left w:w="80" w:type="dxa"/>
              <w:right w:w="80" w:type="dxa"/>
            </w:tcMar>
          </w:tcPr>
          <w:p>
            <w:r>
              <w:t>1. UU No. 20 Tahun 2023 tentang Aparatur Sipil Negara (Pasal 49 Kewajiban Pengembangan Kompetensi ASN)</w:t>
              <w:br/>
              <w:t>2. PermenPANRB No. 8 Tahun 2026 tentang Evaluasi Pemerintahan Digital (Indikator 03 Bobot 5%)</w:t>
              <w:br/>
              <w:t>3. Standar Kompetensi Kerja Nasional Indonesia (SKKNI) Bidang TIK &amp; AI</w:t>
            </w:r>
          </w:p>
        </w:tc>
      </w:tr>
      <w:tr>
        <w:tc>
          <w:tcPr>
            <w:tcW w:type="dxa" w:w="3168"/>
            <w:shd w:fill="F2F4F7"/>
            <w:tcMar>
              <w:top w:w="60" w:type="dxa"/>
              <w:bottom w:w="60" w:type="dxa"/>
              <w:left w:w="80" w:type="dxa"/>
              <w:right w:w="80" w:type="dxa"/>
            </w:tcMar>
          </w:tcPr>
          <w:p>
            <w:r>
              <w:rPr>
                <w:b/>
              </w:rPr>
              <w:t>Ruang Lingkup</w:t>
            </w:r>
          </w:p>
        </w:tc>
        <w:tc>
          <w:tcPr>
            <w:tcW w:type="dxa" w:w="6192"/>
            <w:tcMar>
              <w:top w:w="60" w:type="dxa"/>
              <w:bottom w:w="60" w:type="dxa"/>
              <w:left w:w="80" w:type="dxa"/>
              <w:right w:w="80" w:type="dxa"/>
            </w:tcMar>
          </w:tcPr>
          <w:p>
            <w:r>
              <w:t>Pemetaan gap kompetensi digital ASN, program sertifikasi profesi TIK BNSP/Internasional, dan pelatihan AI Generatif</w:t>
            </w:r>
          </w:p>
        </w:tc>
      </w:tr>
      <w:tr>
        <w:tc>
          <w:tcPr>
            <w:tcW w:type="dxa" w:w="3168"/>
            <w:shd w:fill="F2F4F7"/>
            <w:tcMar>
              <w:top w:w="60" w:type="dxa"/>
              <w:bottom w:w="60" w:type="dxa"/>
              <w:left w:w="80" w:type="dxa"/>
              <w:right w:w="80" w:type="dxa"/>
            </w:tcMar>
          </w:tcPr>
          <w:p>
            <w:r>
              <w:rPr>
                <w:b/>
              </w:rPr>
              <w:t>Penyusun Dokumen</w:t>
            </w:r>
          </w:p>
        </w:tc>
        <w:tc>
          <w:tcPr>
            <w:tcW w:type="dxa" w:w="6192"/>
            <w:tcMar>
              <w:top w:w="60" w:type="dxa"/>
              <w:bottom w:w="60" w:type="dxa"/>
              <w:left w:w="80" w:type="dxa"/>
              <w:right w:w="80" w:type="dxa"/>
            </w:tcMar>
          </w:tcPr>
          <w:p>
            <w:r>
              <w:t>Tim Terpadu BKPSDM, Diskominfo, dan Tim Ahli Transformasi Digital</w:t>
            </w:r>
          </w:p>
        </w:tc>
      </w:tr>
    </w:tbl>
    <w:p>
      <w:r>
        <w:br/>
      </w:r>
    </w:p>
    <w:p>
      <w:pPr>
        <w:pStyle w:val="Heading2"/>
      </w:pPr>
      <w:r>
        <w:rPr>
          <w:color w:val="1F4E79"/>
        </w:rPr>
        <w:t>I. LATAR BELAKANG DAN URGENSI</w:t>
      </w:r>
    </w:p>
    <w:p>
      <w:r>
        <w:rPr>
          <w:b/>
        </w:rPr>
        <w:t>1.1 Latar Belakang:</w:t>
        <w:br/>
      </w:r>
      <w:r>
        <w:t>Pemerintah Digital (Pemdi) menuntut perubahan mendasar bukan hanya pada sistem dan infrastruktur komputasi, tetapi pada kapabilitas aparatur sipil negara (ASN) sebagai arsitek dan penggerak utama layanan. Berdasarkan PermenPANRB Nomor 8 Tahun 2026 tentang Evaluasi Pemerintahan Digital, Indikator 03 secara tegas menetapkan bahwa instansi pemerintah harus memiliki rencana pengembangan kapasitas terstruktur, sertifikasi profesi keahlian TIK yang terstandarisasi, serta pembudayaan pemanfaatan Artificial Intelligence (AI) dan analitik data.</w:t>
        <w:br/>
        <w:br/>
      </w:r>
      <w:r>
        <w:rPr>
          <w:b/>
        </w:rPr>
        <w:t>1.2 Tujuan Dokumen TNA:</w:t>
        <w:br/>
      </w:r>
      <w:r>
        <w:t>a. Mengidentifikasi kesenjangan (gap) kompetensi digital ASN di lingkungan [Nama Instansi].</w:t>
        <w:br/>
        <w:t>b. Menyusun peta jalan pengembangan kompetensi digital dari level dasar (digital literacy) hingga keahlian khusus (cyber security, AI prompt engineering, data science, cloud).</w:t>
        <w:br/>
        <w:t>c. Menjadi dasar resmi pengalokasian anggaran pengembangan SDM digital dalam Dokumen Pelaksanaan Anggaran (DPA) BKPSDM dan Diskominfo.</w:t>
        <w:br/>
        <w:t>d. Memenuhi standar pembuktian Kematangan Level 3 dan Level 4 pada Evaluasi Kinerja Pemerintah Digital (Indeks Pemdi).</w:t>
      </w:r>
    </w:p>
    <w:p>
      <w:pPr>
        <w:pStyle w:val="Heading2"/>
      </w:pPr>
      <w:r>
        <w:rPr>
          <w:color w:val="1F4E79"/>
        </w:rPr>
        <w:t>II. METODOLOGI ASESMEN GAP KOMPETENSI DIGITAL</w:t>
      </w:r>
    </w:p>
    <w:p>
      <w:r>
        <w:t>Asesmen dilakukan terhadap 4 (empat) klaster target ASN dengan menggunakan model kuadran kompetensi digital:</w:t>
        <w:br/>
        <w:t>1. Klaster Pimpinan Tinggi / Administrator: Digital Leadership, Data-driven Decision Making, Etika AI Pemerintahan.</w:t>
        <w:br/>
        <w:t>2. Klaster Fungsional TIK (Pranata Komputer / Sandiman): Software Architecture, Cyber Security &amp; Defensive Operations, Cloud Infrastructure, Data Engineering, API Interoperability.</w:t>
        <w:br/>
        <w:t>3. Klaster Analis Kebijakan &amp; Perencana: AI Tools for Policy Brief, Big Data Visualization, Predictive Analytics.</w:t>
        <w:br/>
        <w:t>4. Klaster Pelaksana &amp; Operator Layanan OPD: Digital Office Productivity, Keamanan Informasi Dasar (Anti-Phishing), Pelindungan Data Pribadi (UU PDP).</w:t>
      </w:r>
    </w:p>
    <w:p>
      <w:pPr>
        <w:pStyle w:val="Heading2"/>
      </w:pPr>
      <w:r>
        <w:rPr>
          <w:color w:val="1F4E79"/>
        </w:rPr>
        <w:t>III. HASIL ASESMEN GAP DAN RENCANA INTERVENSI KEAHLIAN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r>
              <w:rPr>
                <w:b/>
                <w:color w:val="FFFFFF"/>
              </w:rPr>
              <w:t>Klaster Jabatan</w:t>
            </w:r>
          </w:p>
        </w:tc>
        <w:tc>
          <w:tcPr>
            <w:tcW w:type="dxa" w:w="1872"/>
            <w:shd w:fill="1F4E79"/>
          </w:tcPr>
          <w:p>
            <w:r>
              <w:rPr>
                <w:b/>
                <w:color w:val="FFFFFF"/>
              </w:rPr>
              <w:t>Target Kompetensi</w:t>
            </w:r>
          </w:p>
        </w:tc>
        <w:tc>
          <w:tcPr>
            <w:tcW w:type="dxa" w:w="1872"/>
            <w:shd w:fill="1F4E79"/>
          </w:tcPr>
          <w:p>
            <w:r>
              <w:rPr>
                <w:b/>
                <w:color w:val="FFFFFF"/>
              </w:rPr>
              <w:t>Kondisi Eksisting (Baseline)</w:t>
            </w:r>
          </w:p>
        </w:tc>
        <w:tc>
          <w:tcPr>
            <w:tcW w:type="dxa" w:w="1872"/>
            <w:shd w:fill="1F4E79"/>
          </w:tcPr>
          <w:p>
            <w:r>
              <w:rPr>
                <w:b/>
                <w:color w:val="FFFFFF"/>
              </w:rPr>
              <w:t>Gap Kesenjangan</w:t>
            </w:r>
          </w:p>
        </w:tc>
        <w:tc>
          <w:tcPr>
            <w:tcW w:type="dxa" w:w="1872"/>
            <w:shd w:fill="1F4E79"/>
          </w:tcPr>
          <w:p>
            <w:r>
              <w:rPr>
                <w:b/>
                <w:color w:val="FFFFFF"/>
              </w:rPr>
              <w:t>Intervensi / Solusi Sertifikasi</w:t>
            </w:r>
          </w:p>
        </w:tc>
      </w:tr>
      <w:tr>
        <w:tc>
          <w:tcPr>
            <w:tcW w:type="dxa" w:w="1872"/>
            <w:tcMar>
              <w:top w:w="50" w:type="dxa"/>
              <w:bottom w:w="50" w:type="dxa"/>
              <w:left w:w="60" w:type="dxa"/>
              <w:right w:w="60" w:type="dxa"/>
            </w:tcMar>
          </w:tcPr>
          <w:p>
            <w:r>
              <w:t>Fungsional TIK &amp; Siber</w:t>
            </w:r>
          </w:p>
        </w:tc>
        <w:tc>
          <w:tcPr>
            <w:tcW w:type="dxa" w:w="1872"/>
            <w:tcMar>
              <w:top w:w="50" w:type="dxa"/>
              <w:bottom w:w="50" w:type="dxa"/>
              <w:left w:w="60" w:type="dxa"/>
              <w:right w:w="60" w:type="dxa"/>
            </w:tcMar>
          </w:tcPr>
          <w:p>
            <w:r>
              <w:t>Sertifikasi Keahlian Cyber Security &amp; Cloud</w:t>
            </w:r>
          </w:p>
        </w:tc>
        <w:tc>
          <w:tcPr>
            <w:tcW w:type="dxa" w:w="1872"/>
            <w:tcMar>
              <w:top w:w="50" w:type="dxa"/>
              <w:bottom w:w="50" w:type="dxa"/>
              <w:left w:w="60" w:type="dxa"/>
              <w:right w:w="60" w:type="dxa"/>
            </w:tcMar>
          </w:tcPr>
          <w:p>
            <w:r>
              <w:t>2 dari 12 staf memiliki sertifikasi internasional</w:t>
            </w:r>
          </w:p>
        </w:tc>
        <w:tc>
          <w:tcPr>
            <w:tcW w:type="dxa" w:w="1872"/>
            <w:tcMar>
              <w:top w:w="50" w:type="dxa"/>
              <w:bottom w:w="50" w:type="dxa"/>
              <w:left w:w="60" w:type="dxa"/>
              <w:right w:w="60" w:type="dxa"/>
            </w:tcMar>
          </w:tcPr>
          <w:p>
            <w:r>
              <w:t>10 staf belum tersertifikasi resmi</w:t>
            </w:r>
          </w:p>
        </w:tc>
        <w:tc>
          <w:tcPr>
            <w:tcW w:type="dxa" w:w="1872"/>
            <w:tcMar>
              <w:top w:w="50" w:type="dxa"/>
              <w:bottom w:w="50" w:type="dxa"/>
              <w:left w:w="60" w:type="dxa"/>
              <w:right w:w="60" w:type="dxa"/>
            </w:tcMar>
          </w:tcPr>
          <w:p>
            <w:r>
              <w:t>Sertifikasi BNSP Cyber Security Analyst &amp; AWS/Google Cloud Associate</w:t>
            </w:r>
          </w:p>
        </w:tc>
      </w:tr>
      <w:tr>
        <w:tc>
          <w:tcPr>
            <w:tcW w:type="dxa" w:w="1872"/>
            <w:tcMar>
              <w:top w:w="50" w:type="dxa"/>
              <w:bottom w:w="50" w:type="dxa"/>
              <w:left w:w="60" w:type="dxa"/>
              <w:right w:w="60" w:type="dxa"/>
            </w:tcMar>
            <w:shd w:fill="F9FAFB"/>
          </w:tcPr>
          <w:p>
            <w:r>
              <w:t>Data &amp; AI Specialist</w:t>
            </w:r>
          </w:p>
        </w:tc>
        <w:tc>
          <w:tcPr>
            <w:tcW w:type="dxa" w:w="1872"/>
            <w:tcMar>
              <w:top w:w="50" w:type="dxa"/>
              <w:bottom w:w="50" w:type="dxa"/>
              <w:left w:w="60" w:type="dxa"/>
              <w:right w:w="60" w:type="dxa"/>
            </w:tcMar>
            <w:shd w:fill="F9FAFB"/>
          </w:tcPr>
          <w:p>
            <w:r>
              <w:t>Data Science, Machine Learning &amp; AI Prompting</w:t>
            </w:r>
          </w:p>
        </w:tc>
        <w:tc>
          <w:tcPr>
            <w:tcW w:type="dxa" w:w="1872"/>
            <w:tcMar>
              <w:top w:w="50" w:type="dxa"/>
              <w:bottom w:w="50" w:type="dxa"/>
              <w:left w:w="60" w:type="dxa"/>
              <w:right w:w="60" w:type="dxa"/>
            </w:tcMar>
            <w:shd w:fill="F9FAFB"/>
          </w:tcPr>
          <w:p>
            <w:r>
              <w:t>Belum ada ASN berkualifikasi formal data scientist</w:t>
            </w:r>
          </w:p>
        </w:tc>
        <w:tc>
          <w:tcPr>
            <w:tcW w:type="dxa" w:w="1872"/>
            <w:tcMar>
              <w:top w:w="50" w:type="dxa"/>
              <w:bottom w:w="50" w:type="dxa"/>
              <w:left w:w="60" w:type="dxa"/>
              <w:right w:w="60" w:type="dxa"/>
            </w:tcMar>
            <w:shd w:fill="F9FAFB"/>
          </w:tcPr>
          <w:p>
            <w:r>
              <w:t>Defisit kapabilitas AI modeling</w:t>
            </w:r>
          </w:p>
        </w:tc>
        <w:tc>
          <w:tcPr>
            <w:tcW w:type="dxa" w:w="1872"/>
            <w:tcMar>
              <w:top w:w="50" w:type="dxa"/>
              <w:bottom w:w="50" w:type="dxa"/>
              <w:left w:w="60" w:type="dxa"/>
              <w:right w:w="60" w:type="dxa"/>
            </w:tcMar>
            <w:shd w:fill="F9FAFB"/>
          </w:tcPr>
          <w:p>
            <w:r>
              <w:t>Bootcamp Data Analytics &amp; Sertifikasi Certified AI Practitioner</w:t>
            </w:r>
          </w:p>
        </w:tc>
      </w:tr>
      <w:tr>
        <w:tc>
          <w:tcPr>
            <w:tcW w:type="dxa" w:w="1872"/>
            <w:tcMar>
              <w:top w:w="50" w:type="dxa"/>
              <w:bottom w:w="50" w:type="dxa"/>
              <w:left w:w="60" w:type="dxa"/>
              <w:right w:w="60" w:type="dxa"/>
            </w:tcMar>
          </w:tcPr>
          <w:p>
            <w:r>
              <w:t>Analis Kebijakan</w:t>
            </w:r>
          </w:p>
        </w:tc>
        <w:tc>
          <w:tcPr>
            <w:tcW w:type="dxa" w:w="1872"/>
            <w:tcMar>
              <w:top w:w="50" w:type="dxa"/>
              <w:bottom w:w="50" w:type="dxa"/>
              <w:left w:w="60" w:type="dxa"/>
              <w:right w:w="60" w:type="dxa"/>
            </w:tcMar>
          </w:tcPr>
          <w:p>
            <w:r>
              <w:t>Kajian Berbasis Big Data &amp; Prompt AI Efektif</w:t>
            </w:r>
          </w:p>
        </w:tc>
        <w:tc>
          <w:tcPr>
            <w:tcW w:type="dxa" w:w="1872"/>
            <w:tcMar>
              <w:top w:w="50" w:type="dxa"/>
              <w:bottom w:w="50" w:type="dxa"/>
              <w:left w:w="60" w:type="dxa"/>
              <w:right w:w="60" w:type="dxa"/>
            </w:tcMar>
          </w:tcPr>
          <w:p>
            <w:r>
              <w:t>Analisis naskah masih manual dan memakan waktu 14 hari</w:t>
            </w:r>
          </w:p>
        </w:tc>
        <w:tc>
          <w:tcPr>
            <w:tcW w:type="dxa" w:w="1872"/>
            <w:tcMar>
              <w:top w:w="50" w:type="dxa"/>
              <w:bottom w:w="50" w:type="dxa"/>
              <w:left w:w="60" w:type="dxa"/>
              <w:right w:w="60" w:type="dxa"/>
            </w:tcMar>
          </w:tcPr>
          <w:p>
            <w:r>
              <w:t>Keterbatasan pemanfaatan GenAI</w:t>
            </w:r>
          </w:p>
        </w:tc>
        <w:tc>
          <w:tcPr>
            <w:tcW w:type="dxa" w:w="1872"/>
            <w:tcMar>
              <w:top w:w="50" w:type="dxa"/>
              <w:bottom w:w="50" w:type="dxa"/>
              <w:left w:w="60" w:type="dxa"/>
              <w:right w:w="60" w:type="dxa"/>
            </w:tcMar>
          </w:tcPr>
          <w:p>
            <w:r>
              <w:t>Workshop Digital Policy Making with Generative AI</w:t>
            </w:r>
          </w:p>
        </w:tc>
      </w:tr>
      <w:tr>
        <w:tc>
          <w:tcPr>
            <w:tcW w:type="dxa" w:w="1872"/>
            <w:tcMar>
              <w:top w:w="50" w:type="dxa"/>
              <w:bottom w:w="50" w:type="dxa"/>
              <w:left w:w="60" w:type="dxa"/>
              <w:right w:w="60" w:type="dxa"/>
            </w:tcMar>
            <w:shd w:fill="F9FAFB"/>
          </w:tcPr>
          <w:p>
            <w:r>
              <w:t>Operator OPD / Umum</w:t>
            </w:r>
          </w:p>
        </w:tc>
        <w:tc>
          <w:tcPr>
            <w:tcW w:type="dxa" w:w="1872"/>
            <w:tcMar>
              <w:top w:w="50" w:type="dxa"/>
              <w:bottom w:w="50" w:type="dxa"/>
              <w:left w:w="60" w:type="dxa"/>
              <w:right w:w="60" w:type="dxa"/>
            </w:tcMar>
            <w:shd w:fill="F9FAFB"/>
          </w:tcPr>
          <w:p>
            <w:r>
              <w:t>Literasi Keamanan Informasi &amp; UU PDP</w:t>
            </w:r>
          </w:p>
        </w:tc>
        <w:tc>
          <w:tcPr>
            <w:tcW w:type="dxa" w:w="1872"/>
            <w:tcMar>
              <w:top w:w="50" w:type="dxa"/>
              <w:bottom w:w="50" w:type="dxa"/>
              <w:left w:w="60" w:type="dxa"/>
              <w:right w:w="60" w:type="dxa"/>
            </w:tcMar>
            <w:shd w:fill="F9FAFB"/>
          </w:tcPr>
          <w:p>
            <w:r>
              <w:t>Tingkat kesadaran phishing masih rendah (skor 58/100)</w:t>
            </w:r>
          </w:p>
        </w:tc>
        <w:tc>
          <w:tcPr>
            <w:tcW w:type="dxa" w:w="1872"/>
            <w:tcMar>
              <w:top w:w="50" w:type="dxa"/>
              <w:bottom w:w="50" w:type="dxa"/>
              <w:left w:w="60" w:type="dxa"/>
              <w:right w:w="60" w:type="dxa"/>
            </w:tcMar>
            <w:shd w:fill="F9FAFB"/>
          </w:tcPr>
          <w:p>
            <w:r>
              <w:t>Rentan kebocoran kredensial</w:t>
            </w:r>
          </w:p>
        </w:tc>
        <w:tc>
          <w:tcPr>
            <w:tcW w:type="dxa" w:w="1872"/>
            <w:tcMar>
              <w:top w:w="50" w:type="dxa"/>
              <w:bottom w:w="50" w:type="dxa"/>
              <w:left w:w="60" w:type="dxa"/>
              <w:right w:w="60" w:type="dxa"/>
            </w:tcMar>
            <w:shd w:fill="F9FAFB"/>
          </w:tcPr>
          <w:p>
            <w:r>
              <w:t>Pelatihan Masif Cyber Security Hygiene &amp; Pelindungan Data Pribadi</w:t>
            </w:r>
          </w:p>
        </w:tc>
      </w:tr>
    </w:tbl>
    <w:p>
      <w:r>
        <w:br/>
      </w:r>
    </w:p>
    <w:p>
      <w:pPr>
        <w:pStyle w:val="Heading2"/>
      </w:pPr>
      <w:r>
        <w:rPr>
          <w:color w:val="1F4E79"/>
        </w:rPr>
        <w:t>IV. ROADMAP PROGRAM SERTIFIKASI DAN ALOKASI ANGGARAN DPA</w:t>
      </w:r>
    </w:p>
    <w:p>
      <w:r>
        <w:t>Rencana pembiayaan diintegrasikan pada Sub-Kegiatan Pengembangan Kapasitas ASN pada Dokumen Pelaksanaan Anggaran (DPA) Badan Kepegawaian dan Pengembangan SDM serta Diskominfo Tahun Anggaran 2026 dengan rincian target peserta 65 ASN bersertifikat kompetensi.</w:t>
      </w:r>
    </w:p>
    <w:p>
      <w:r>
        <w:br/>
      </w:r>
    </w:p>
    <w:p>
      <w:pPr>
        <w:jc w:val="right"/>
      </w:pPr>
      <w:r>
        <w:rPr>
          <w:sz w:val="20"/>
        </w:rPr>
        <w:t>Ditetapkan di: [Nama Kota/Kabupaten]</w:t>
        <w:br/>
        <w:t>Pada tanggal: 12 Januari 2026</w:t>
        <w:br/>
        <w:br/>
      </w:r>
      <w:r>
        <w:rPr>
          <w:sz w:val="20"/>
        </w:rPr>
        <w:t>Mengetahui,</w:t>
        <w:br/>
      </w:r>
      <w:r>
        <w:rPr>
          <w:b/>
        </w:rPr>
        <w:t>KEPALA BADAN KEPEGAWAIAN DAN</w:t>
        <w:br/>
        <w:t>PENGEMBANGAN SDM (BKPSDM)</w:t>
        <w:br/>
        <w:br/>
        <w:br/>
        <w:br/>
        <w:br/>
      </w:r>
      <w:r>
        <w:rPr>
          <w:b/>
        </w:rPr>
        <w:t>[NAMA KEPALA BADAN, S.Sos., M.Si.]</w:t>
        <w:br/>
      </w:r>
      <w:r>
        <w:rPr>
          <w:sz w:val="18"/>
        </w:rPr>
        <w:t>Pembina Utama Muda (IV/c)</w:t>
        <w:br/>
        <w:t>NIP. 19780512 200212 1 002</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