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LAPORAN EVALUASI PEMANFAATAN LAYANAN KEPEGAWAIAN ELEKTRONIK</w:t>
        <w:br/>
        <w:t>DAN PENERAPAN MANAJEMEN TALENTA ASN (NINE-BOX MATRIX)</w:t>
        <w:br/>
        <w:t>TAHUN 2026</w:t>
        <w:br/>
      </w:r>
    </w:p>
    <w:p>
      <w:pPr>
        <w:jc w:val="center"/>
      </w:pPr>
      <w:r>
        <w:rPr>
          <w:i/>
        </w:rPr>
        <w:t>Bukti Evaluasi Indikator 11 PermenPANRB No. 8/2026 - Tingkat Kematangan Optimum (Level 5)</w:t>
        <w:br/>
      </w:r>
    </w:p>
    <w:p>
      <w:pPr>
        <w:pStyle w:val="Heading2"/>
      </w:pPr>
      <w:r>
        <w:rPr>
          <w:color w:val="1F4E79"/>
        </w:rPr>
        <w:t>1. PENDAHULUAN &amp; CAKUPAN PENGGUNA</w:t>
      </w:r>
    </w:p>
    <w:p>
      <w:r>
        <w:t>Laporan ini menyajikan evaluasi komprehensif implementasi SIMPEG Terpadu yang mencakup 4.820 ASN di 35 Perangkat Daerah. Pada tahun 2026, instansi telah bertransformasi menuju implementasi Sistem Merit Berkelanjutan dengan memanfaatkan analitik data terpadu dan penerapan Manajemen Talenta ASN berbasis Nine-Box Talent Matrix.</w:t>
      </w:r>
    </w:p>
    <w:p>
      <w:pPr>
        <w:pStyle w:val="Heading2"/>
      </w:pPr>
      <w:r>
        <w:rPr>
          <w:color w:val="1F4E79"/>
        </w:rPr>
        <w:t>2. METRIK EVALUASI DAN SURVEI KEPUASAN ASN</w:t>
      </w:r>
    </w:p>
    <w:tbl>
      <w:tblPr>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rPr>
              <w:t>Indikator Evaluasi</w:t>
            </w:r>
          </w:p>
        </w:tc>
        <w:tc>
          <w:tcPr>
            <w:tcW w:type="dxa" w:w="3120"/>
            <w:shd w:fill="1F4E79"/>
          </w:tcPr>
          <w:p>
            <w:r>
              <w:rPr>
                <w:b/>
                <w:color w:val="FFFFFF"/>
              </w:rPr>
              <w:t>Target Kinerja</w:t>
            </w:r>
          </w:p>
        </w:tc>
        <w:tc>
          <w:tcPr>
            <w:tcW w:type="dxa" w:w="3120"/>
            <w:shd w:fill="1F4E79"/>
          </w:tcPr>
          <w:p>
            <w:r>
              <w:rPr>
                <w:b/>
                <w:color w:val="FFFFFF"/>
              </w:rPr>
              <w:t>Capaian Realisasi 2026</w:t>
            </w:r>
          </w:p>
        </w:tc>
      </w:tr>
      <w:tr>
        <w:tc>
          <w:tcPr>
            <w:tcW w:type="dxa" w:w="3120"/>
            <w:tcMar>
              <w:top w:w="60" w:type="dxa"/>
              <w:bottom w:w="60" w:type="dxa"/>
              <w:left w:w="80" w:type="dxa"/>
              <w:right w:w="80" w:type="dxa"/>
            </w:tcMar>
          </w:tcPr>
          <w:p>
            <w:r>
              <w:t>Indeks Kepuasan Layanan Kepegawaian (IKL)</w:t>
            </w:r>
          </w:p>
        </w:tc>
        <w:tc>
          <w:tcPr>
            <w:tcW w:type="dxa" w:w="3120"/>
            <w:tcMar>
              <w:top w:w="60" w:type="dxa"/>
              <w:bottom w:w="60" w:type="dxa"/>
              <w:left w:w="80" w:type="dxa"/>
              <w:right w:w="80" w:type="dxa"/>
            </w:tcMar>
          </w:tcPr>
          <w:p>
            <w:r>
              <w:t>Minimal 3.25 (Skala 4.00)</w:t>
            </w:r>
          </w:p>
        </w:tc>
        <w:tc>
          <w:tcPr>
            <w:tcW w:type="dxa" w:w="3120"/>
            <w:tcMar>
              <w:top w:w="60" w:type="dxa"/>
              <w:bottom w:w="60" w:type="dxa"/>
              <w:left w:w="80" w:type="dxa"/>
              <w:right w:w="80" w:type="dxa"/>
            </w:tcMar>
          </w:tcPr>
          <w:p>
            <w:r>
              <w:t>3.82 (Kategori Sangat Memuaskan)</w:t>
            </w:r>
          </w:p>
        </w:tc>
      </w:tr>
      <w:tr>
        <w:tc>
          <w:tcPr>
            <w:tcW w:type="dxa" w:w="3120"/>
            <w:tcMar>
              <w:top w:w="60" w:type="dxa"/>
              <w:bottom w:w="60" w:type="dxa"/>
              <w:left w:w="80" w:type="dxa"/>
              <w:right w:w="80" w:type="dxa"/>
            </w:tcMar>
            <w:shd w:fill="F9FAFB"/>
          </w:tcPr>
          <w:p>
            <w:r>
              <w:t>Tingkat Paperless Dokumen Kepegawaian</w:t>
            </w:r>
          </w:p>
        </w:tc>
        <w:tc>
          <w:tcPr>
            <w:tcW w:type="dxa" w:w="3120"/>
            <w:tcMar>
              <w:top w:w="60" w:type="dxa"/>
              <w:bottom w:w="60" w:type="dxa"/>
              <w:left w:w="80" w:type="dxa"/>
              <w:right w:w="80" w:type="dxa"/>
            </w:tcMar>
            <w:shd w:fill="F9FAFB"/>
          </w:tcPr>
          <w:p>
            <w:r>
              <w:t>100% Bebas Kertas Fisik</w:t>
            </w:r>
          </w:p>
        </w:tc>
        <w:tc>
          <w:tcPr>
            <w:tcW w:type="dxa" w:w="3120"/>
            <w:tcMar>
              <w:top w:w="60" w:type="dxa"/>
              <w:bottom w:w="60" w:type="dxa"/>
              <w:left w:w="80" w:type="dxa"/>
              <w:right w:w="80" w:type="dxa"/>
            </w:tcMar>
            <w:shd w:fill="F9FAFB"/>
          </w:tcPr>
          <w:p>
            <w:r>
              <w:t>100% Seluruh Layanan Berbasis TTE</w:t>
            </w:r>
          </w:p>
        </w:tc>
      </w:tr>
      <w:tr>
        <w:tc>
          <w:tcPr>
            <w:tcW w:type="dxa" w:w="3120"/>
            <w:tcMar>
              <w:top w:w="60" w:type="dxa"/>
              <w:bottom w:w="60" w:type="dxa"/>
              <w:left w:w="80" w:type="dxa"/>
              <w:right w:w="80" w:type="dxa"/>
            </w:tcMar>
          </w:tcPr>
          <w:p>
            <w:r>
              <w:t>Rata-rata Waktu Proses Cuti Online</w:t>
            </w:r>
          </w:p>
        </w:tc>
        <w:tc>
          <w:tcPr>
            <w:tcW w:type="dxa" w:w="3120"/>
            <w:tcMar>
              <w:top w:w="60" w:type="dxa"/>
              <w:bottom w:w="60" w:type="dxa"/>
              <w:left w:w="80" w:type="dxa"/>
              <w:right w:w="80" w:type="dxa"/>
            </w:tcMar>
          </w:tcPr>
          <w:p>
            <w:r>
              <w:t>&lt; 4 Jam Kerja</w:t>
            </w:r>
          </w:p>
        </w:tc>
        <w:tc>
          <w:tcPr>
            <w:tcW w:type="dxa" w:w="3120"/>
            <w:tcMar>
              <w:top w:w="60" w:type="dxa"/>
              <w:bottom w:w="60" w:type="dxa"/>
              <w:left w:w="80" w:type="dxa"/>
              <w:right w:w="80" w:type="dxa"/>
            </w:tcMar>
          </w:tcPr>
          <w:p>
            <w:r>
              <w:t>1.5 Jam Kerja</w:t>
            </w:r>
          </w:p>
        </w:tc>
      </w:tr>
      <w:tr>
        <w:tc>
          <w:tcPr>
            <w:tcW w:type="dxa" w:w="3120"/>
            <w:tcMar>
              <w:top w:w="60" w:type="dxa"/>
              <w:bottom w:w="60" w:type="dxa"/>
              <w:left w:w="80" w:type="dxa"/>
              <w:right w:w="80" w:type="dxa"/>
            </w:tcMar>
            <w:shd w:fill="F9FAFB"/>
          </w:tcPr>
          <w:p>
            <w:r>
              <w:t>Akurasi Pemetaan Talenta Otomatis</w:t>
            </w:r>
          </w:p>
        </w:tc>
        <w:tc>
          <w:tcPr>
            <w:tcW w:type="dxa" w:w="3120"/>
            <w:tcMar>
              <w:top w:w="60" w:type="dxa"/>
              <w:bottom w:w="60" w:type="dxa"/>
              <w:left w:w="80" w:type="dxa"/>
              <w:right w:w="80" w:type="dxa"/>
            </w:tcMar>
            <w:shd w:fill="F9FAFB"/>
          </w:tcPr>
          <w:p>
            <w:r>
              <w:t>&gt; 90% Terintegrasi e-Kinerja</w:t>
            </w:r>
          </w:p>
        </w:tc>
        <w:tc>
          <w:tcPr>
            <w:tcW w:type="dxa" w:w="3120"/>
            <w:tcMar>
              <w:top w:w="60" w:type="dxa"/>
              <w:bottom w:w="60" w:type="dxa"/>
              <w:left w:w="80" w:type="dxa"/>
              <w:right w:w="80" w:type="dxa"/>
            </w:tcMar>
            <w:shd w:fill="F9FAFB"/>
          </w:tcPr>
          <w:p>
            <w:r>
              <w:t>96.4% Terpetakan di Kuadran 9-Box</w:t>
            </w:r>
          </w:p>
        </w:tc>
      </w:tr>
      <w:tr>
        <w:tc>
          <w:tcPr>
            <w:tcW w:type="dxa" w:w="3120"/>
            <w:tcMar>
              <w:top w:w="60" w:type="dxa"/>
              <w:bottom w:w="60" w:type="dxa"/>
              <w:left w:w="80" w:type="dxa"/>
              <w:right w:w="80" w:type="dxa"/>
            </w:tcMar>
          </w:tcPr>
          <w:p>
            <w:r>
              <w:t>Integrasi API Dua Arah ke SIASN BKN</w:t>
            </w:r>
          </w:p>
        </w:tc>
        <w:tc>
          <w:tcPr>
            <w:tcW w:type="dxa" w:w="3120"/>
            <w:tcMar>
              <w:top w:w="60" w:type="dxa"/>
              <w:bottom w:w="60" w:type="dxa"/>
              <w:left w:w="80" w:type="dxa"/>
              <w:right w:w="80" w:type="dxa"/>
            </w:tcMar>
          </w:tcPr>
          <w:p>
            <w:r>
              <w:t>Real-Time / Harian</w:t>
            </w:r>
          </w:p>
        </w:tc>
        <w:tc>
          <w:tcPr>
            <w:tcW w:type="dxa" w:w="3120"/>
            <w:tcMar>
              <w:top w:w="60" w:type="dxa"/>
              <w:bottom w:w="60" w:type="dxa"/>
              <w:left w:w="80" w:type="dxa"/>
              <w:right w:w="80" w:type="dxa"/>
            </w:tcMar>
          </w:tcPr>
          <w:p>
            <w:r>
              <w:t>Aktif Berjalan (Zero Discrepancy)</w:t>
            </w:r>
          </w:p>
        </w:tc>
      </w:tr>
    </w:tbl>
    <w:p>
      <w:r>
        <w:br/>
      </w:r>
    </w:p>
    <w:p>
      <w:pPr>
        <w:pStyle w:val="Heading2"/>
      </w:pPr>
      <w:r>
        <w:rPr>
          <w:color w:val="1F4E79"/>
        </w:rPr>
        <w:t>3. PENERAPAN MANAJEMEN TALENTA BERBASIS AI &amp; PREDICTIVE ANALYTICS</w:t>
      </w:r>
    </w:p>
    <w:p>
      <w:r>
        <w:t>1. Pemetaan Otomatis Kuadran 9-Box:</w:t>
        <w:br/>
        <w:t xml:space="preserve">   SIMPEG secara otomatis mengombinasikan data capaian e-Kinerja tahunan (Sumbu Y) dengan hasil asesmen kompetensi manajerial &amp; sosio-kultural (Sumbu X). Sebanyak 184 ASN terpilih masuk ke dalam Kuadran 9 (Top Talent - Kinerja Tinggi &amp; Potensi Tinggi) sebagai Talent Pool suksesi jabatan pimpinan tinggi dan administrator.</w:t>
        <w:br/>
        <w:br/>
        <w:t>2. Rekomendasi Diklat Berbasis Kesenjangan Kompetensi:</w:t>
        <w:br/>
        <w:t xml:space="preserve">   Sistem memberikan rekomendasi pelatihan otomatis bagi ASN yang berada pada Kuadran 1 s.d. 3 guna akselerasi peningkatan kapabilitas.</w:t>
      </w:r>
    </w:p>
    <w:p>
      <w:pPr>
        <w:pStyle w:val="Heading2"/>
      </w:pPr>
      <w:r>
        <w:rPr>
          <w:color w:val="1F4E79"/>
        </w:rPr>
        <w:t>4. REKOMENDASI TINDAK LANJUT BERKELANJUTAN</w:t>
      </w:r>
    </w:p>
    <w:p>
      <w:r>
        <w:t>1. Memperluas integrasi modul talent pool dengan SIASN Manajemen Talenta Nasional.</w:t>
        <w:br/>
        <w:t>2. Menambahkan fitur konseling karier virtual berbasis kecerdasan buatan di aplikasi mobile ASN.</w:t>
        <w:br/>
        <w:t>3. Melakukan audit periodik terhadap kerahasiaan rekam jejak medis dan data pribadi ASN.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