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PEMERINTAH DAERAH / KEMENTERIAN / LEMBAGA [NAMA INSTANSI]</w:t>
        <w:br/>
      </w:r>
      <w:r>
        <w:rPr>
          <w:b/>
          <w:sz w:val="26"/>
        </w:rPr>
        <w:t>TIM KOORDINASI SISTEM PEMERINTAHAN BERBASIS ELEKTRONIK (SPBE)</w:t>
        <w:br/>
      </w:r>
      <w:r>
        <w:rPr>
          <w:color w:val="646464"/>
          <w:sz w:val="18"/>
        </w:rPr>
        <w:t>Laporan Resmi Evaluasi Berkala dan Reviu Tata Kelola Pemerintah Digital Sesuai Ketentuan Level 5 PermenPANRB 8/2026</w:t>
        <w:br/>
      </w:r>
    </w:p>
    <w:p>
      <w:pPr>
        <w:jc w:val="center"/>
      </w:pPr>
      <w:r>
        <w:rPr>
          <w:b/>
        </w:rPr>
        <w:t>=================================================================</w:t>
      </w:r>
    </w:p>
    <w:p>
      <w:pPr>
        <w:pStyle w:val="Heading1"/>
        <w:jc w:val="center"/>
      </w:pPr>
      <w:r>
        <w:rPr>
          <w:b/>
          <w:color w:val="1F4E79"/>
          <w:sz w:val="26"/>
        </w:rPr>
        <w:t>LAPORAN RESMI EVALUASI DAN REVIU BERKALA</w:t>
        <w:br/>
        <w:t>PENERAPAN TATA KELOLA PEMERINTAH DIGITAL</w:t>
        <w:br/>
        <w:t>(PERIODE EVALUASI TAHUN 2026)</w:t>
      </w:r>
    </w:p>
    <w:tbl>
      <w:tblPr>
        <w:tblW w:type="auto" w:w="0"/>
        <w:jc w:val="center"/>
        <w:tblLook w:firstColumn="1" w:firstRow="1" w:lastColumn="0" w:lastRow="0" w:noHBand="0" w:noVBand="1" w:val="04A0"/>
      </w:tblPr>
      <w:tblGrid>
        <w:gridCol w:w="4680"/>
        <w:gridCol w:w="4680"/>
      </w:tblGrid>
      <w:tr>
        <w:tc>
          <w:tcPr>
            <w:tcW w:type="dxa" w:w="3168"/>
            <w:shd w:fill="F2F4F7"/>
            <w:tcMar>
              <w:top w:w="60" w:type="dxa"/>
              <w:bottom w:w="60" w:type="dxa"/>
              <w:left w:w="80" w:type="dxa"/>
              <w:right w:w="80" w:type="dxa"/>
            </w:tcMar>
          </w:tcPr>
          <w:p>
            <w:r>
              <w:rPr>
                <w:b/>
              </w:rPr>
              <w:t>Nomor Dokumen</w:t>
            </w:r>
          </w:p>
        </w:tc>
        <w:tc>
          <w:tcPr>
            <w:tcW w:type="dxa" w:w="6192"/>
            <w:tcMar>
              <w:top w:w="60" w:type="dxa"/>
              <w:bottom w:w="60" w:type="dxa"/>
              <w:left w:w="80" w:type="dxa"/>
              <w:right w:w="80" w:type="dxa"/>
            </w:tcMar>
          </w:tcPr>
          <w:p>
            <w:r>
              <w:t>LAP-REVIU-TATAKELOLA-01/2026</w:t>
            </w:r>
          </w:p>
        </w:tc>
      </w:tr>
      <w:tr>
        <w:tc>
          <w:tcPr>
            <w:tcW w:type="dxa" w:w="3168"/>
            <w:shd w:fill="F2F4F7"/>
            <w:tcMar>
              <w:top w:w="60" w:type="dxa"/>
              <w:bottom w:w="60" w:type="dxa"/>
              <w:left w:w="80" w:type="dxa"/>
              <w:right w:w="80" w:type="dxa"/>
            </w:tcMar>
          </w:tcPr>
          <w:p>
            <w:r>
              <w:rPr>
                <w:b/>
              </w:rPr>
              <w:t>Tanggal Penyusunan</w:t>
            </w:r>
          </w:p>
        </w:tc>
        <w:tc>
          <w:tcPr>
            <w:tcW w:type="dxa" w:w="6192"/>
            <w:tcMar>
              <w:top w:w="60" w:type="dxa"/>
              <w:bottom w:w="60" w:type="dxa"/>
              <w:left w:w="80" w:type="dxa"/>
              <w:right w:w="80" w:type="dxa"/>
            </w:tcMar>
          </w:tcPr>
          <w:p>
            <w:r>
              <w:t>15 Februari 2026</w:t>
            </w:r>
          </w:p>
        </w:tc>
      </w:tr>
      <w:tr>
        <w:tc>
          <w:tcPr>
            <w:tcW w:type="dxa" w:w="3168"/>
            <w:shd w:fill="F2F4F7"/>
            <w:tcMar>
              <w:top w:w="60" w:type="dxa"/>
              <w:bottom w:w="60" w:type="dxa"/>
              <w:left w:w="80" w:type="dxa"/>
              <w:right w:w="80" w:type="dxa"/>
            </w:tcMar>
          </w:tcPr>
          <w:p>
            <w:r>
              <w:rPr>
                <w:b/>
              </w:rPr>
              <w:t>Siklus Reviu</w:t>
            </w:r>
          </w:p>
        </w:tc>
        <w:tc>
          <w:tcPr>
            <w:tcW w:type="dxa" w:w="6192"/>
            <w:tcMar>
              <w:top w:w="60" w:type="dxa"/>
              <w:bottom w:w="60" w:type="dxa"/>
              <w:left w:w="80" w:type="dxa"/>
              <w:right w:w="80" w:type="dxa"/>
            </w:tcMar>
          </w:tcPr>
          <w:p>
            <w:r>
              <w:t>Evaluasi Berkala 2 (Dua) Tahunan Tata Kelola &amp; Peta Rencana</w:t>
            </w:r>
          </w:p>
        </w:tc>
      </w:tr>
      <w:tr>
        <w:tc>
          <w:tcPr>
            <w:tcW w:type="dxa" w:w="3168"/>
            <w:shd w:fill="F2F4F7"/>
            <w:tcMar>
              <w:top w:w="60" w:type="dxa"/>
              <w:bottom w:w="60" w:type="dxa"/>
              <w:left w:w="80" w:type="dxa"/>
              <w:right w:w="80" w:type="dxa"/>
            </w:tcMar>
          </w:tcPr>
          <w:p>
            <w:r>
              <w:rPr>
                <w:b/>
              </w:rPr>
              <w:t>Fokus Analisis</w:t>
            </w:r>
          </w:p>
        </w:tc>
        <w:tc>
          <w:tcPr>
            <w:tcW w:type="dxa" w:w="6192"/>
            <w:tcMar>
              <w:top w:w="60" w:type="dxa"/>
              <w:bottom w:w="60" w:type="dxa"/>
              <w:left w:w="80" w:type="dxa"/>
              <w:right w:w="80" w:type="dxa"/>
            </w:tcMar>
          </w:tcPr>
          <w:p>
            <w:r>
              <w:t>Penyelarasan Arsitektur SIA-SPBE, Efektivitas Integrasi Layanan Publik, dan Kepatuhan 6 Domain</w:t>
            </w:r>
          </w:p>
        </w:tc>
      </w:tr>
      <w:tr>
        <w:tc>
          <w:tcPr>
            <w:tcW w:type="dxa" w:w="3168"/>
            <w:shd w:fill="F2F4F7"/>
            <w:tcMar>
              <w:top w:w="60" w:type="dxa"/>
              <w:bottom w:w="60" w:type="dxa"/>
              <w:left w:w="80" w:type="dxa"/>
              <w:right w:w="80" w:type="dxa"/>
            </w:tcMar>
          </w:tcPr>
          <w:p>
            <w:r>
              <w:rPr>
                <w:b/>
              </w:rPr>
              <w:t>Target Standar Kematangan</w:t>
            </w:r>
          </w:p>
        </w:tc>
        <w:tc>
          <w:tcPr>
            <w:tcW w:type="dxa" w:w="6192"/>
            <w:tcMar>
              <w:top w:w="60" w:type="dxa"/>
              <w:bottom w:w="60" w:type="dxa"/>
              <w:left w:w="80" w:type="dxa"/>
              <w:right w:w="80" w:type="dxa"/>
            </w:tcMar>
          </w:tcPr>
          <w:p>
            <w:r>
              <w:t>Standar Pemenuhan Level 5 (Optimum &amp; Berkelanjutan) PermenPANRB No. 8/2026 Indikator 1</w:t>
            </w:r>
          </w:p>
        </w:tc>
      </w:tr>
    </w:tbl>
    <w:p>
      <w:r>
        <w:br/>
      </w:r>
    </w:p>
    <w:p>
      <w:pPr>
        <w:pStyle w:val="Heading2"/>
      </w:pPr>
      <w:r>
        <w:rPr>
          <w:color w:val="1F4E79"/>
        </w:rPr>
        <w:t>I. LATAR BELAKANG DAN MAKSUD EVALUASI BERKALA</w:t>
      </w:r>
    </w:p>
    <w:p>
      <w:r>
        <w:t>Berdasarkan kriteria Level 5 Indikator 1 Evaluasi Kinerja Pemerintahan Digital (PermenPANRB No. 8 Tahun 2026), tata kelola pemerintah digital tidak hanya ditetapkan dan dipadukan secara elektronik, tetapi harus dievaluasi secara berkala minimal satu kali dalam dua tahun serta bersifat adaptif terhadap arah kebijakan transformasi digital nasional mutakhir. Laporan evaluasi berkala ini menyajikan hasil pengukuran kinerja implementasi arsitektur di seluruh Organisasi Perangkat Daerah, analisis kesenjangan (gap analysis) terhadap standar GovTech dan Digital ID nasional, audit keterpaduan data dan aplikasi, serta rekomendasi penyempurnaan atau adendum Peta Rencana Pemerintah Digital.</w:t>
      </w:r>
    </w:p>
    <w:p>
      <w:pPr>
        <w:pStyle w:val="Heading2"/>
      </w:pPr>
      <w:r>
        <w:rPr>
          <w:color w:val="1F4E79"/>
        </w:rPr>
        <w:t>II. HASIL PENGUKURAN KINERJA IMPLEMENTASI ARSITEKTUR DIGITAL</w:t>
      </w:r>
    </w:p>
    <w:tbl>
      <w:tblPr>
        <w:tblW w:type="auto" w:w="0"/>
        <w:jc w:val="center"/>
        <w:tblLook w:firstColumn="1" w:firstRow="1" w:lastColumn="0" w:lastRow="0" w:noHBand="0" w:noVBand="1" w:val="04A0"/>
      </w:tblPr>
      <w:tblGrid>
        <w:gridCol w:w="2340"/>
        <w:gridCol w:w="2340"/>
        <w:gridCol w:w="2340"/>
        <w:gridCol w:w="2340"/>
      </w:tblGrid>
      <w:tr>
        <w:tc>
          <w:tcPr>
            <w:tcW w:type="dxa" w:w="3168"/>
            <w:shd w:fill="1F4E79"/>
          </w:tcPr>
          <w:p>
            <w:r>
              <w:rPr>
                <w:b/>
                <w:color w:val="FFFFFF"/>
              </w:rPr>
              <w:t>Domain Arsitektur</w:t>
            </w:r>
          </w:p>
        </w:tc>
        <w:tc>
          <w:tcPr>
            <w:tcW w:type="dxa" w:w="2160"/>
            <w:shd w:fill="1F4E79"/>
          </w:tcPr>
          <w:p>
            <w:r>
              <w:rPr>
                <w:b/>
                <w:color w:val="FFFFFF"/>
              </w:rPr>
              <w:t>Target Capaian 2026</w:t>
            </w:r>
          </w:p>
        </w:tc>
        <w:tc>
          <w:tcPr>
            <w:tcW w:type="dxa" w:w="2160"/>
            <w:shd w:fill="1F4E79"/>
          </w:tcPr>
          <w:p>
            <w:r>
              <w:rPr>
                <w:b/>
                <w:color w:val="FFFFFF"/>
              </w:rPr>
              <w:t>Realisasi Kinerja</w:t>
            </w:r>
          </w:p>
        </w:tc>
        <w:tc>
          <w:tcPr>
            <w:tcW w:type="dxa" w:w="1872"/>
            <w:shd w:fill="1F4E79"/>
          </w:tcPr>
          <w:p>
            <w:r>
              <w:rPr>
                <w:b/>
                <w:color w:val="FFFFFF"/>
              </w:rPr>
              <w:t>Status Kepatuhan</w:t>
            </w:r>
          </w:p>
        </w:tc>
      </w:tr>
      <w:tr>
        <w:tc>
          <w:tcPr>
            <w:tcW w:type="dxa" w:w="2340"/>
            <w:tcMar>
              <w:top w:w="50" w:type="dxa"/>
              <w:bottom w:w="50" w:type="dxa"/>
              <w:left w:w="60" w:type="dxa"/>
              <w:right w:w="60" w:type="dxa"/>
            </w:tcMar>
          </w:tcPr>
          <w:p>
            <w:r>
              <w:rPr>
                <w:b/>
              </w:rPr>
              <w:t>1. Proses Bisnis</w:t>
            </w:r>
          </w:p>
        </w:tc>
        <w:tc>
          <w:tcPr>
            <w:tcW w:type="dxa" w:w="2340"/>
            <w:tcMar>
              <w:top w:w="50" w:type="dxa"/>
              <w:bottom w:w="50" w:type="dxa"/>
              <w:left w:w="60" w:type="dxa"/>
              <w:right w:w="60" w:type="dxa"/>
            </w:tcMar>
          </w:tcPr>
          <w:p>
            <w:r>
              <w:t>Penyelarasan 100% Probis OPD</w:t>
            </w:r>
          </w:p>
        </w:tc>
        <w:tc>
          <w:tcPr>
            <w:tcW w:type="dxa" w:w="2340"/>
            <w:tcMar>
              <w:top w:w="50" w:type="dxa"/>
              <w:bottom w:w="50" w:type="dxa"/>
              <w:left w:w="60" w:type="dxa"/>
              <w:right w:w="60" w:type="dxa"/>
            </w:tcMar>
          </w:tcPr>
          <w:p>
            <w:r>
              <w:t>100% Selaras SIA-SPBE</w:t>
            </w:r>
          </w:p>
        </w:tc>
        <w:tc>
          <w:tcPr>
            <w:tcW w:type="dxa" w:w="2340"/>
            <w:tcMar>
              <w:top w:w="50" w:type="dxa"/>
              <w:bottom w:w="50" w:type="dxa"/>
              <w:left w:w="60" w:type="dxa"/>
              <w:right w:w="60" w:type="dxa"/>
            </w:tcMar>
          </w:tcPr>
          <w:p>
            <w:r>
              <w:rPr>
                <w:b/>
              </w:rPr>
              <w:t>OPTIMUM (MEMENUHI)</w:t>
            </w:r>
          </w:p>
        </w:tc>
      </w:tr>
      <w:tr>
        <w:tc>
          <w:tcPr>
            <w:tcW w:type="dxa" w:w="2340"/>
            <w:tcMar>
              <w:top w:w="50" w:type="dxa"/>
              <w:bottom w:w="50" w:type="dxa"/>
              <w:left w:w="60" w:type="dxa"/>
              <w:right w:w="60" w:type="dxa"/>
            </w:tcMar>
            <w:shd w:fill="F9FAFB"/>
          </w:tcPr>
          <w:p>
            <w:r>
              <w:rPr>
                <w:b/>
              </w:rPr>
              <w:t>2. Data &amp; Informasi</w:t>
            </w:r>
          </w:p>
        </w:tc>
        <w:tc>
          <w:tcPr>
            <w:tcW w:type="dxa" w:w="2340"/>
            <w:tcMar>
              <w:top w:w="50" w:type="dxa"/>
              <w:bottom w:w="50" w:type="dxa"/>
              <w:left w:w="60" w:type="dxa"/>
              <w:right w:w="60" w:type="dxa"/>
            </w:tcMar>
            <w:shd w:fill="F9FAFB"/>
          </w:tcPr>
          <w:p>
            <w:r>
              <w:t>Portal SDI &amp; Katalog Data Aktif</w:t>
            </w:r>
          </w:p>
        </w:tc>
        <w:tc>
          <w:tcPr>
            <w:tcW w:type="dxa" w:w="2340"/>
            <w:tcMar>
              <w:top w:w="50" w:type="dxa"/>
              <w:bottom w:w="50" w:type="dxa"/>
              <w:left w:w="60" w:type="dxa"/>
              <w:right w:w="60" w:type="dxa"/>
            </w:tcMar>
            <w:shd w:fill="F9FAFB"/>
          </w:tcPr>
          <w:p>
            <w:r>
              <w:t>92% Data Master Terhubung</w:t>
            </w:r>
          </w:p>
        </w:tc>
        <w:tc>
          <w:tcPr>
            <w:tcW w:type="dxa" w:w="2340"/>
            <w:tcMar>
              <w:top w:w="50" w:type="dxa"/>
              <w:bottom w:w="50" w:type="dxa"/>
              <w:left w:w="60" w:type="dxa"/>
              <w:right w:w="60" w:type="dxa"/>
            </w:tcMar>
            <w:shd w:fill="F9FAFB"/>
          </w:tcPr>
          <w:p>
            <w:r>
              <w:rPr>
                <w:b/>
              </w:rPr>
              <w:t>MEMENUHI</w:t>
            </w:r>
          </w:p>
        </w:tc>
      </w:tr>
      <w:tr>
        <w:tc>
          <w:tcPr>
            <w:tcW w:type="dxa" w:w="2340"/>
            <w:tcMar>
              <w:top w:w="50" w:type="dxa"/>
              <w:bottom w:w="50" w:type="dxa"/>
              <w:left w:w="60" w:type="dxa"/>
              <w:right w:w="60" w:type="dxa"/>
            </w:tcMar>
          </w:tcPr>
          <w:p>
            <w:r>
              <w:rPr>
                <w:b/>
              </w:rPr>
              <w:t>3. Layanan Digital</w:t>
            </w:r>
          </w:p>
        </w:tc>
        <w:tc>
          <w:tcPr>
            <w:tcW w:type="dxa" w:w="2340"/>
            <w:tcMar>
              <w:top w:w="50" w:type="dxa"/>
              <w:bottom w:w="50" w:type="dxa"/>
              <w:left w:w="60" w:type="dxa"/>
              <w:right w:w="60" w:type="dxa"/>
            </w:tcMar>
          </w:tcPr>
          <w:p>
            <w:r>
              <w:t>Integrasi Portal Tunggal Pelayanan</w:t>
            </w:r>
          </w:p>
        </w:tc>
        <w:tc>
          <w:tcPr>
            <w:tcW w:type="dxa" w:w="2340"/>
            <w:tcMar>
              <w:top w:w="50" w:type="dxa"/>
              <w:bottom w:w="50" w:type="dxa"/>
              <w:left w:w="60" w:type="dxa"/>
              <w:right w:w="60" w:type="dxa"/>
            </w:tcMar>
          </w:tcPr>
          <w:p>
            <w:r>
              <w:t>SuperApp 1 Pintu Beroperasi</w:t>
            </w:r>
          </w:p>
        </w:tc>
        <w:tc>
          <w:tcPr>
            <w:tcW w:type="dxa" w:w="2340"/>
            <w:tcMar>
              <w:top w:w="50" w:type="dxa"/>
              <w:bottom w:w="50" w:type="dxa"/>
              <w:left w:w="60" w:type="dxa"/>
              <w:right w:w="60" w:type="dxa"/>
            </w:tcMar>
          </w:tcPr>
          <w:p>
            <w:r>
              <w:rPr>
                <w:b/>
              </w:rPr>
              <w:t>OPTIMUM (MEMENUHI)</w:t>
            </w:r>
          </w:p>
        </w:tc>
      </w:tr>
      <w:tr>
        <w:tc>
          <w:tcPr>
            <w:tcW w:type="dxa" w:w="2340"/>
            <w:tcMar>
              <w:top w:w="50" w:type="dxa"/>
              <w:bottom w:w="50" w:type="dxa"/>
              <w:left w:w="60" w:type="dxa"/>
              <w:right w:w="60" w:type="dxa"/>
            </w:tcMar>
            <w:shd w:fill="F9FAFB"/>
          </w:tcPr>
          <w:p>
            <w:r>
              <w:rPr>
                <w:b/>
              </w:rPr>
              <w:t>4. Aplikasi</w:t>
            </w:r>
          </w:p>
        </w:tc>
        <w:tc>
          <w:tcPr>
            <w:tcW w:type="dxa" w:w="2340"/>
            <w:tcMar>
              <w:top w:w="50" w:type="dxa"/>
              <w:bottom w:w="50" w:type="dxa"/>
              <w:left w:w="60" w:type="dxa"/>
              <w:right w:w="60" w:type="dxa"/>
            </w:tcMar>
            <w:shd w:fill="F9FAFB"/>
          </w:tcPr>
          <w:p>
            <w:r>
              <w:t>Moratorium Silo &amp; Microservices API</w:t>
            </w:r>
          </w:p>
        </w:tc>
        <w:tc>
          <w:tcPr>
            <w:tcW w:type="dxa" w:w="2340"/>
            <w:tcMar>
              <w:top w:w="50" w:type="dxa"/>
              <w:bottom w:w="50" w:type="dxa"/>
              <w:left w:w="60" w:type="dxa"/>
              <w:right w:w="60" w:type="dxa"/>
            </w:tcMar>
            <w:shd w:fill="F9FAFB"/>
          </w:tcPr>
          <w:p>
            <w:r>
              <w:t>52 Aplikasi Terkatalog &amp; Bebas Duplikasi</w:t>
            </w:r>
          </w:p>
        </w:tc>
        <w:tc>
          <w:tcPr>
            <w:tcW w:type="dxa" w:w="2340"/>
            <w:tcMar>
              <w:top w:w="50" w:type="dxa"/>
              <w:bottom w:w="50" w:type="dxa"/>
              <w:left w:w="60" w:type="dxa"/>
              <w:right w:w="60" w:type="dxa"/>
            </w:tcMar>
            <w:shd w:fill="F9FAFB"/>
          </w:tcPr>
          <w:p>
            <w:r>
              <w:rPr>
                <w:b/>
              </w:rPr>
              <w:t>MEMENUHI</w:t>
            </w:r>
          </w:p>
        </w:tc>
      </w:tr>
      <w:tr>
        <w:tc>
          <w:tcPr>
            <w:tcW w:type="dxa" w:w="2340"/>
            <w:tcMar>
              <w:top w:w="50" w:type="dxa"/>
              <w:bottom w:w="50" w:type="dxa"/>
              <w:left w:w="60" w:type="dxa"/>
              <w:right w:w="60" w:type="dxa"/>
            </w:tcMar>
          </w:tcPr>
          <w:p>
            <w:r>
              <w:rPr>
                <w:b/>
              </w:rPr>
              <w:t>5. Infrastruktur</w:t>
            </w:r>
          </w:p>
        </w:tc>
        <w:tc>
          <w:tcPr>
            <w:tcW w:type="dxa" w:w="2340"/>
            <w:tcMar>
              <w:top w:w="50" w:type="dxa"/>
              <w:bottom w:w="50" w:type="dxa"/>
              <w:left w:w="60" w:type="dxa"/>
              <w:right w:w="60" w:type="dxa"/>
            </w:tcMar>
          </w:tcPr>
          <w:p>
            <w:r>
              <w:t>Migrasi Server OPD ke Cloud PDN</w:t>
            </w:r>
          </w:p>
        </w:tc>
        <w:tc>
          <w:tcPr>
            <w:tcW w:type="dxa" w:w="2340"/>
            <w:tcMar>
              <w:top w:w="50" w:type="dxa"/>
              <w:bottom w:w="50" w:type="dxa"/>
              <w:left w:w="60" w:type="dxa"/>
              <w:right w:w="60" w:type="dxa"/>
            </w:tcMar>
          </w:tcPr>
          <w:p>
            <w:r>
              <w:t>100% Server Utama di PDN</w:t>
            </w:r>
          </w:p>
        </w:tc>
        <w:tc>
          <w:tcPr>
            <w:tcW w:type="dxa" w:w="2340"/>
            <w:tcMar>
              <w:top w:w="50" w:type="dxa"/>
              <w:bottom w:w="50" w:type="dxa"/>
              <w:left w:w="60" w:type="dxa"/>
              <w:right w:w="60" w:type="dxa"/>
            </w:tcMar>
          </w:tcPr>
          <w:p>
            <w:r>
              <w:rPr>
                <w:b/>
              </w:rPr>
              <w:t>OPTIMUM (MEMENUHI)</w:t>
            </w:r>
          </w:p>
        </w:tc>
      </w:tr>
      <w:tr>
        <w:tc>
          <w:tcPr>
            <w:tcW w:type="dxa" w:w="2340"/>
            <w:tcMar>
              <w:top w:w="50" w:type="dxa"/>
              <w:bottom w:w="50" w:type="dxa"/>
              <w:left w:w="60" w:type="dxa"/>
              <w:right w:w="60" w:type="dxa"/>
            </w:tcMar>
            <w:shd w:fill="F9FAFB"/>
          </w:tcPr>
          <w:p>
            <w:r>
              <w:rPr>
                <w:b/>
              </w:rPr>
              <w:t>6. Keamanan</w:t>
            </w:r>
          </w:p>
        </w:tc>
        <w:tc>
          <w:tcPr>
            <w:tcW w:type="dxa" w:w="2340"/>
            <w:tcMar>
              <w:top w:w="50" w:type="dxa"/>
              <w:bottom w:w="50" w:type="dxa"/>
              <w:left w:w="60" w:type="dxa"/>
              <w:right w:w="60" w:type="dxa"/>
            </w:tcMar>
            <w:shd w:fill="F9FAFB"/>
          </w:tcPr>
          <w:p>
            <w:r>
              <w:t>STR CSIRT BSSN &amp; TTE 100% SK</w:t>
            </w:r>
          </w:p>
        </w:tc>
        <w:tc>
          <w:tcPr>
            <w:tcW w:type="dxa" w:w="2340"/>
            <w:tcMar>
              <w:top w:w="50" w:type="dxa"/>
              <w:bottom w:w="50" w:type="dxa"/>
              <w:left w:w="60" w:type="dxa"/>
              <w:right w:w="60" w:type="dxa"/>
            </w:tcMar>
            <w:shd w:fill="F9FAFB"/>
          </w:tcPr>
          <w:p>
            <w:r>
              <w:t>CSIRT Terdaftar &amp; TTE Aktif</w:t>
            </w:r>
          </w:p>
        </w:tc>
        <w:tc>
          <w:tcPr>
            <w:tcW w:type="dxa" w:w="2340"/>
            <w:tcMar>
              <w:top w:w="50" w:type="dxa"/>
              <w:bottom w:w="50" w:type="dxa"/>
              <w:left w:w="60" w:type="dxa"/>
              <w:right w:w="60" w:type="dxa"/>
            </w:tcMar>
            <w:shd w:fill="F9FAFB"/>
          </w:tcPr>
          <w:p>
            <w:r>
              <w:rPr>
                <w:b/>
              </w:rPr>
              <w:t>OPTIMUM (MEMENUHI)</w:t>
            </w:r>
          </w:p>
        </w:tc>
      </w:tr>
    </w:tbl>
    <w:p>
      <w:pPr>
        <w:pStyle w:val="Heading2"/>
      </w:pPr>
      <w:r>
        <w:rPr>
          <w:color w:val="1F4E79"/>
        </w:rPr>
        <w:t>III. ANALISIS KESENJANGAN (GAP ANALYSIS) TERHADAP ARAH REGULASI NASIONAL</w:t>
      </w:r>
    </w:p>
    <w:p>
      <w:pPr>
        <w:ind w:left="288"/>
      </w:pPr>
      <w:r>
        <w:rPr>
          <w:b/>
        </w:rPr>
        <w:t xml:space="preserve">1. Integrasi Digital ID Nasional (INAGov Portal): </w:t>
      </w:r>
      <w:r>
        <w:t>Peta rencana awal 2024 belum memuat arsitektur Single Sign-On berbasis Identitas Kependudukan Digital (IKD) nasional. Diperlukan adendum penyesuaian pada Domain Layanan dan Domain Aplikasi agar seluruh portal instansi mendukung otentikasi terpusat GovTech Indonesia.</w:t>
      </w:r>
    </w:p>
    <w:p>
      <w:pPr>
        <w:ind w:left="288"/>
      </w:pPr>
      <w:r>
        <w:rPr>
          <w:b/>
        </w:rPr>
        <w:t xml:space="preserve">2. Penerapan AI Etis &amp; Otomasi Naskah Dinas: </w:t>
      </w:r>
      <w:r>
        <w:t>Dinamika teknologi kecerdasan artifisial (GenAI) memerlukan regulasi turunan berupa Pedoman Etika AI dan Pemanfaatan AI untuk perumusan naskah dinas dan rekapitulasi data sektoral.</w:t>
      </w:r>
    </w:p>
    <w:p>
      <w:pPr>
        <w:ind w:left="288"/>
      </w:pPr>
      <w:r>
        <w:rPr>
          <w:b/>
        </w:rPr>
        <w:t xml:space="preserve">3. Optimalisasi Zero Unencrypted Data: </w:t>
      </w:r>
      <w:r>
        <w:t>Arsitektur keamanan informasi perlu diperkuat dengan kewajiban enkripsi data sensitif baik saat transmisi (TLS 1.3) maupun saat tersimpan di database (AES-256).</w:t>
      </w:r>
    </w:p>
    <w:p>
      <w:pPr>
        <w:pStyle w:val="Heading2"/>
      </w:pPr>
      <w:r>
        <w:rPr>
          <w:color w:val="1F4E79"/>
        </w:rPr>
        <w:t>IV. MATRIKS REKOMENDASI TINDAK LANJUT &amp; ADENDUM PETA RENCANA</w:t>
      </w:r>
    </w:p>
    <w:tbl>
      <w:tblPr>
        <w:tblW w:type="auto" w:w="0"/>
        <w:jc w:val="center"/>
        <w:tblLook w:firstColumn="1" w:firstRow="1" w:lastColumn="0" w:lastRow="0" w:noHBand="0" w:noVBand="1" w:val="04A0"/>
      </w:tblPr>
      <w:tblGrid>
        <w:gridCol w:w="2340"/>
        <w:gridCol w:w="2340"/>
        <w:gridCol w:w="2340"/>
        <w:gridCol w:w="2340"/>
      </w:tblGrid>
      <w:tr>
        <w:tc>
          <w:tcPr>
            <w:tcW w:type="dxa" w:w="720"/>
            <w:shd w:fill="1F4E79"/>
          </w:tcPr>
          <w:p>
            <w:r>
              <w:rPr>
                <w:b/>
                <w:color w:val="FFFFFF"/>
              </w:rPr>
              <w:t>No</w:t>
            </w:r>
          </w:p>
        </w:tc>
        <w:tc>
          <w:tcPr>
            <w:tcW w:type="dxa" w:w="3168"/>
            <w:shd w:fill="1F4E79"/>
          </w:tcPr>
          <w:p>
            <w:r>
              <w:rPr>
                <w:b/>
                <w:color w:val="FFFFFF"/>
              </w:rPr>
              <w:t>Temuan Evaluasi Tata Kelola</w:t>
            </w:r>
          </w:p>
        </w:tc>
        <w:tc>
          <w:tcPr>
            <w:tcW w:type="dxa" w:w="3600"/>
            <w:shd w:fill="1F4E79"/>
          </w:tcPr>
          <w:p>
            <w:r>
              <w:rPr>
                <w:b/>
                <w:color w:val="FFFFFF"/>
              </w:rPr>
              <w:t>Rencana Aksi Perbaikan / Adendum</w:t>
            </w:r>
          </w:p>
        </w:tc>
        <w:tc>
          <w:tcPr>
            <w:tcW w:type="dxa" w:w="2160"/>
            <w:shd w:fill="1F4E79"/>
          </w:tcPr>
          <w:p>
            <w:r>
              <w:rPr>
                <w:b/>
                <w:color w:val="FFFFFF"/>
              </w:rPr>
              <w:t>Target Waktu &amp; PIC</w:t>
            </w:r>
          </w:p>
        </w:tc>
      </w:tr>
      <w:tr>
        <w:tc>
          <w:tcPr>
            <w:tcW w:type="dxa" w:w="2340"/>
            <w:tcMar>
              <w:top w:w="50" w:type="dxa"/>
              <w:bottom w:w="50" w:type="dxa"/>
              <w:left w:w="60" w:type="dxa"/>
              <w:right w:w="60" w:type="dxa"/>
            </w:tcMar>
          </w:tcPr>
          <w:p>
            <w:r>
              <w:t>1</w:t>
            </w:r>
          </w:p>
        </w:tc>
        <w:tc>
          <w:tcPr>
            <w:tcW w:type="dxa" w:w="2340"/>
            <w:tcMar>
              <w:top w:w="50" w:type="dxa"/>
              <w:bottom w:w="50" w:type="dxa"/>
              <w:left w:w="60" w:type="dxa"/>
              <w:right w:w="60" w:type="dxa"/>
            </w:tcMar>
          </w:tcPr>
          <w:p>
            <w:r>
              <w:rPr>
                <w:b/>
              </w:rPr>
              <w:t>Masih ada 3 unit kerja yang mengelola database terpisah belum terhubung ke SDI</w:t>
            </w:r>
          </w:p>
        </w:tc>
        <w:tc>
          <w:tcPr>
            <w:tcW w:type="dxa" w:w="2340"/>
            <w:tcMar>
              <w:top w:w="50" w:type="dxa"/>
              <w:bottom w:w="50" w:type="dxa"/>
              <w:left w:w="60" w:type="dxa"/>
              <w:right w:w="60" w:type="dxa"/>
            </w:tcMar>
          </w:tcPr>
          <w:p>
            <w:r>
              <w:t>Penyusunan API konektor SPLP dan standardisasi metadata SDI</w:t>
            </w:r>
          </w:p>
        </w:tc>
        <w:tc>
          <w:tcPr>
            <w:tcW w:type="dxa" w:w="2340"/>
            <w:tcMar>
              <w:top w:w="50" w:type="dxa"/>
              <w:bottom w:w="50" w:type="dxa"/>
              <w:left w:w="60" w:type="dxa"/>
              <w:right w:w="60" w:type="dxa"/>
            </w:tcMar>
          </w:tcPr>
          <w:p>
            <w:r>
              <w:t>Triwulan I 2026 (Diskominfo &amp; Bappeda)</w:t>
            </w:r>
          </w:p>
        </w:tc>
      </w:tr>
      <w:tr>
        <w:tc>
          <w:tcPr>
            <w:tcW w:type="dxa" w:w="2340"/>
            <w:tcMar>
              <w:top w:w="50" w:type="dxa"/>
              <w:bottom w:w="50" w:type="dxa"/>
              <w:left w:w="60" w:type="dxa"/>
              <w:right w:w="60" w:type="dxa"/>
            </w:tcMar>
            <w:shd w:fill="F9FAFB"/>
          </w:tcPr>
          <w:p>
            <w:r>
              <w:t>2</w:t>
            </w:r>
          </w:p>
        </w:tc>
        <w:tc>
          <w:tcPr>
            <w:tcW w:type="dxa" w:w="2340"/>
            <w:tcMar>
              <w:top w:w="50" w:type="dxa"/>
              <w:bottom w:w="50" w:type="dxa"/>
              <w:left w:w="60" w:type="dxa"/>
              <w:right w:w="60" w:type="dxa"/>
            </w:tcMar>
            <w:shd w:fill="F9FAFB"/>
          </w:tcPr>
          <w:p>
            <w:r>
              <w:rPr>
                <w:b/>
              </w:rPr>
              <w:t>Kebutuhan adopsi regulasi percepatan layanan digital nasional (Perpres 82/2023)</w:t>
            </w:r>
          </w:p>
        </w:tc>
        <w:tc>
          <w:tcPr>
            <w:tcW w:type="dxa" w:w="2340"/>
            <w:tcMar>
              <w:top w:w="50" w:type="dxa"/>
              <w:bottom w:w="50" w:type="dxa"/>
              <w:left w:w="60" w:type="dxa"/>
              <w:right w:w="60" w:type="dxa"/>
            </w:tcMar>
            <w:shd w:fill="F9FAFB"/>
          </w:tcPr>
          <w:p>
            <w:r>
              <w:t>Penerbitan Keputusan Kepala Instansi tentang Adendum Peta Rencana 2026-2030</w:t>
            </w:r>
          </w:p>
        </w:tc>
        <w:tc>
          <w:tcPr>
            <w:tcW w:type="dxa" w:w="2340"/>
            <w:tcMar>
              <w:top w:w="50" w:type="dxa"/>
              <w:bottom w:w="50" w:type="dxa"/>
              <w:left w:w="60" w:type="dxa"/>
              <w:right w:w="60" w:type="dxa"/>
            </w:tcMar>
            <w:shd w:fill="F9FAFB"/>
          </w:tcPr>
          <w:p>
            <w:r>
              <w:t>Maret 2026 (Bagian Hukum &amp; Tim SPBE)</w:t>
            </w:r>
          </w:p>
        </w:tc>
      </w:tr>
      <w:tr>
        <w:tc>
          <w:tcPr>
            <w:tcW w:type="dxa" w:w="2340"/>
            <w:tcMar>
              <w:top w:w="50" w:type="dxa"/>
              <w:bottom w:w="50" w:type="dxa"/>
              <w:left w:w="60" w:type="dxa"/>
              <w:right w:w="60" w:type="dxa"/>
            </w:tcMar>
          </w:tcPr>
          <w:p>
            <w:r>
              <w:t>3</w:t>
            </w:r>
          </w:p>
        </w:tc>
        <w:tc>
          <w:tcPr>
            <w:tcW w:type="dxa" w:w="2340"/>
            <w:tcMar>
              <w:top w:w="50" w:type="dxa"/>
              <w:bottom w:w="50" w:type="dxa"/>
              <w:left w:w="60" w:type="dxa"/>
              <w:right w:w="60" w:type="dxa"/>
            </w:tcMar>
          </w:tcPr>
          <w:p>
            <w:r>
              <w:rPr>
                <w:b/>
              </w:rPr>
              <w:t>Perlunya peningkatan kapasitas talenta arsitek digital OPD</w:t>
            </w:r>
          </w:p>
        </w:tc>
        <w:tc>
          <w:tcPr>
            <w:tcW w:type="dxa" w:w="2340"/>
            <w:tcMar>
              <w:top w:w="50" w:type="dxa"/>
              <w:bottom w:w="50" w:type="dxa"/>
              <w:left w:w="60" w:type="dxa"/>
              <w:right w:w="60" w:type="dxa"/>
            </w:tcMar>
          </w:tcPr>
          <w:p>
            <w:r>
              <w:t>Penyelenggaraan pelatihan Enterprise Architecture bersertifikasi bagi pejabat TIK</w:t>
            </w:r>
          </w:p>
        </w:tc>
        <w:tc>
          <w:tcPr>
            <w:tcW w:type="dxa" w:w="2340"/>
            <w:tcMar>
              <w:top w:w="50" w:type="dxa"/>
              <w:bottom w:w="50" w:type="dxa"/>
              <w:left w:w="60" w:type="dxa"/>
              <w:right w:w="60" w:type="dxa"/>
            </w:tcMar>
          </w:tcPr>
          <w:p>
            <w:r>
              <w:t>Semester I 2026 (BKPSDM)</w:t>
            </w:r>
          </w:p>
        </w:tc>
      </w:tr>
      <w:tr>
        <w:tc>
          <w:tcPr>
            <w:tcW w:type="dxa" w:w="2340"/>
            <w:tcMar>
              <w:top w:w="50" w:type="dxa"/>
              <w:bottom w:w="50" w:type="dxa"/>
              <w:left w:w="60" w:type="dxa"/>
              <w:right w:w="60" w:type="dxa"/>
            </w:tcMar>
            <w:shd w:fill="F9FAFB"/>
          </w:tcPr>
          <w:p>
            <w:r>
              <w:t>4</w:t>
            </w:r>
          </w:p>
        </w:tc>
        <w:tc>
          <w:tcPr>
            <w:tcW w:type="dxa" w:w="2340"/>
            <w:tcMar>
              <w:top w:w="50" w:type="dxa"/>
              <w:bottom w:w="50" w:type="dxa"/>
              <w:left w:w="60" w:type="dxa"/>
              <w:right w:w="60" w:type="dxa"/>
            </w:tcMar>
            <w:shd w:fill="F9FAFB"/>
          </w:tcPr>
          <w:p>
            <w:r>
              <w:rPr>
                <w:b/>
              </w:rPr>
              <w:t>Pemutakhiran berkala akun SIA-SPBE pasca penataan SOTK instansi</w:t>
            </w:r>
          </w:p>
        </w:tc>
        <w:tc>
          <w:tcPr>
            <w:tcW w:type="dxa" w:w="2340"/>
            <w:tcMar>
              <w:top w:w="50" w:type="dxa"/>
              <w:bottom w:w="50" w:type="dxa"/>
              <w:left w:w="60" w:type="dxa"/>
              <w:right w:w="60" w:type="dxa"/>
            </w:tcMar>
            <w:shd w:fill="F9FAFB"/>
          </w:tcPr>
          <w:p>
            <w:r>
              <w:t>Sinkronisasi ulang struktur proses bisnis OPD ke portal SIA-SPBE KemenPANRB</w:t>
            </w:r>
          </w:p>
        </w:tc>
        <w:tc>
          <w:tcPr>
            <w:tcW w:type="dxa" w:w="2340"/>
            <w:tcMar>
              <w:top w:w="50" w:type="dxa"/>
              <w:bottom w:w="50" w:type="dxa"/>
              <w:left w:w="60" w:type="dxa"/>
              <w:right w:w="60" w:type="dxa"/>
            </w:tcMar>
            <w:shd w:fill="F9FAFB"/>
          </w:tcPr>
          <w:p>
            <w:r>
              <w:t>Triwulan II 2026 (Diskominfo)</w:t>
            </w:r>
          </w:p>
        </w:tc>
      </w:tr>
    </w:tbl>
    <w:p>
      <w:r>
        <w:br/>
      </w:r>
    </w:p>
    <w:p>
      <w:pPr>
        <w:jc w:val="right"/>
      </w:pPr>
      <w:r>
        <w:rPr>
          <w:sz w:val="20"/>
        </w:rPr>
        <w:t>Disahkan oleh:</w:t>
        <w:br/>
        <w:t>Tanggal: 20 Februari 2026</w:t>
        <w:br/>
        <w:br/>
      </w:r>
      <w:r>
        <w:rPr>
          <w:b/>
        </w:rPr>
        <w:t>KEPALA DAERAH / PIMPINAN INSTANSI,</w:t>
        <w:br/>
        <w:br/>
        <w:br/>
        <w:br/>
      </w:r>
      <w:r>
        <w:rPr>
          <w:b/>
        </w:rPr>
        <w:t>[NAMA LENGKAP KEPALA DAERAH / INSTANSI]</w:t>
        <w:br/>
      </w:r>
      <w:r>
        <w:t>(Telah ditandatangani secara elektronik)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