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TIM KOORDINASI SISTEM PEMERINTAHAN BERBASIS ELEKTRONIK (SPBE)</w:t>
        <w:br/>
      </w:r>
      <w:r>
        <w:rPr>
          <w:color w:val="646464"/>
          <w:sz w:val="18"/>
        </w:rPr>
        <w:t>Dokumen Teknis Lampiran Utuh 6 Domain Arsitektur Pemerintah Digital Sesuai Perpres 132/2022 &amp; PermenPANRB 8/2026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8"/>
        </w:rPr>
        <w:t>BUKU INDUK DOKUMEN ARSITEKTUR PEMERINTAH DIGITAL</w:t>
        <w:br/>
        <w:t>6 DOMAIN TERPADU TAHUN 2026-2030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Nomor Dokumen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DOK-ARSITEKTUR-PEMDI-01/2026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Tanggal Pengesahan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05 Januari 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Dasar Ketentuan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Perpres No. 132/2022 (Arsitektur SPBE Nasional) &amp; PermenPANRB No. 8/2026 (Indikator 1 Level 3-4)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Cakupan Domain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 Domain: Proses Bisnis, Data &amp; Informasi, Layanan Digital, Aplikasi, Infrastruktur, Keamanan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Platform Penyelarasan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Sistem Informasi Arsitektur (SIA-SPBE) Nasional Kementerian PANRB (sia.spbe.go.id)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Sekretaris Daerah / Kepala Pusdatin selaku Koordinator Tim SPBE Instansi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RINGKASAN EKSEKUTIF 6 DOMAIN ARSITEKTUR PEMERINTAH DIGITAL</w:t>
      </w:r>
    </w:p>
    <w:p>
      <w:pPr>
        <w:pStyle w:val="Heading3"/>
      </w:pPr>
      <w:r>
        <w:rPr>
          <w:color w:val="2E75B6"/>
        </w:rPr>
        <w:t>1. Domain Proses Bisnis (Business Process)</w:t>
      </w:r>
    </w:p>
    <w:p>
      <w:pPr>
        <w:ind w:left="288"/>
      </w:pPr>
      <w:r>
        <w:t>Mendeskripsikan hierarki proses bisnis instansi dari Level 0 (Peta Proses Utama), Level 1 (Fungsi Layanan), hingga Level 2 (Aktivitas Operasional).</w:t>
        <w:br/>
        <w:t>- Probis Tematik Prioritas: Layanan Perizinan Terpadu, Penanganan Kemiskinan Ekstrem, Pengendalian Inflasi Daerah, dan Digitalisasi Kesehatan/Pendidikan.</w:t>
        <w:br/>
        <w:t>- Probis Administrasi Pemerintahan: Perencanaan, Penganggaran, Keuangan, Pengadaan Barang/Jasa (PBJ), Akuntabilitas Kinerja (SAKIP), dan Kepegawaian ASN.</w:t>
        <w:br/>
        <w:t>- Penyelarasan: Selaras 100% dengan PermenPANRB No. 19/2018 dan terhubung ke Referensi Proses Bisnis Nasional (Rab) pada SIA-SPBE.</w:t>
      </w:r>
    </w:p>
    <w:p>
      <w:pPr>
        <w:pStyle w:val="Heading3"/>
      </w:pPr>
      <w:r>
        <w:rPr>
          <w:color w:val="2E75B6"/>
        </w:rPr>
        <w:t>2. Domain Data dan Informasi (Data &amp; Information)</w:t>
      </w:r>
    </w:p>
    <w:p>
      <w:pPr>
        <w:ind w:left="288"/>
      </w:pPr>
      <w:r>
        <w:t>Mendeskripsikan arsitektur pengelolaan data instansi yang terpadu dan sesuai prinsip Satu Data Indonesia (Perpres 39/2019).</w:t>
        <w:br/>
        <w:t>- Standarisasi: Penetapan Data Induk Daerah (Master Data Kependudukan, Spasial, ASN, Pajak/Retribusi Daerah).</w:t>
        <w:br/>
        <w:t>- Interoperabilitas: Penyusunan metadata baku, kode referensi unik, dan kamus data sektoral.</w:t>
        <w:br/>
        <w:t>- Bagi Pakai: Arsitektur pertukaran data melalui Sistem Penghubung Layanan Pemerintah (SPLP) terhubung ke Satu Data Indonesia Nasional (Rad).</w:t>
      </w:r>
    </w:p>
    <w:p>
      <w:pPr>
        <w:pStyle w:val="Heading3"/>
      </w:pPr>
      <w:r>
        <w:rPr>
          <w:color w:val="2E75B6"/>
        </w:rPr>
        <w:t>3. Domain Layanan Digital (Digital Services)</w:t>
      </w:r>
    </w:p>
    <w:p>
      <w:pPr>
        <w:ind w:left="288"/>
      </w:pPr>
      <w:r>
        <w:t>Mendeskripsikan katalog layanan publik digital dan layanan administrasi pemerintahan digital yang terintegrasi berbasis kebutuhan pengguna (Citizen-Centric).</w:t>
        <w:br/>
        <w:t>- Layanan Publik: Portal Pelayanan Terpadu Satu Pintu (PTSP Online), e-Kesehatan (Simpus Terpadu), e-Pendidikan, dan e-Pajak Daerah.</w:t>
        <w:br/>
        <w:t>- Layanan Administrasi: Sistem Informasi Naskah Dinas Terpadu (SRIKANDI), Manajemen Kepegawaian (SIASN Terintegrasi), dan SIPD-RI Penatausahaan.</w:t>
        <w:br/>
        <w:t>- Standar Akses: Integrasi Single Sign-On (SSO) Digital ID ASN dan Portal Nasional INAGov (Ral).</w:t>
      </w:r>
    </w:p>
    <w:p>
      <w:pPr>
        <w:pStyle w:val="Heading3"/>
      </w:pPr>
      <w:r>
        <w:rPr>
          <w:color w:val="2E75B6"/>
        </w:rPr>
        <w:t>4. Domain Aplikasi (Applications)</w:t>
      </w:r>
    </w:p>
    <w:p>
      <w:pPr>
        <w:ind w:left="288"/>
      </w:pPr>
      <w:r>
        <w:t>Mendeskripsikan standardisasi siklus hidup pembangunan dan penerapan aplikasi berbasis arsitektur modular, microservices, dan API Terbuka.</w:t>
        <w:br/>
        <w:t>- Moratorium Duplikasi: Penertiban aplikasi sejenis dan pengutamaan pemanfaatan Aplikasi Umum Berbagi Pakai Nasional.</w:t>
        <w:br/>
        <w:t>- Interoperabilitas: Standar RESTful API, otentikasi OAuth2/JWT, dan kepatuhan repositori kode sumber instansi (Raa).</w:t>
        <w:br/>
        <w:t>- Keandalan: Uji keamanan kode otomatis (DevSecOps) dan pipeline integrasi berkelanjutan.</w:t>
      </w:r>
    </w:p>
    <w:p>
      <w:pPr>
        <w:pStyle w:val="Heading3"/>
      </w:pPr>
      <w:r>
        <w:rPr>
          <w:color w:val="2E75B6"/>
        </w:rPr>
        <w:t>5. Domain Infrastruktur (Infrastructure)</w:t>
      </w:r>
    </w:p>
    <w:p>
      <w:pPr>
        <w:ind w:left="288"/>
      </w:pPr>
      <w:r>
        <w:t>Mendeskripsikan penyediaan infrastruktur teknologi informasi dan komunikasi yang efisien, berkeandalan tinggi, dan aman.</w:t>
        <w:br/>
        <w:t>- Pusat Data: Konsolidasi infrastruktur server menuju Pusat Data Nasional (PDN) dan pemanfaatan Cloud PDN Komdigi.</w:t>
        <w:br/>
        <w:t>- Jaringan: Arsitektur Jaringan Intra Pemerintah (JIP) dengan pengamanan enkripsi SD-WAN, interkoneksi serat optik seluruh OPD, dan WiFi Publik terfilter.</w:t>
        <w:br/>
        <w:t>- Kelangsungan Layanan: Penerapan Disaster Recovery Center (DRC) dan prosedur backup berkala terisolasi (Rai).</w:t>
      </w:r>
    </w:p>
    <w:p>
      <w:pPr>
        <w:pStyle w:val="Heading3"/>
      </w:pPr>
      <w:r>
        <w:rPr>
          <w:color w:val="2E75B6"/>
        </w:rPr>
        <w:t>6. Domain Keamanan Informasi (Cybersecurity)</w:t>
      </w:r>
    </w:p>
    <w:p>
      <w:pPr>
        <w:ind w:left="288"/>
      </w:pPr>
      <w:r>
        <w:t>Mendeskripsikan kerangka kerja perlindungan data, sistem elektronik, dan ketahanan siber instansi secara menyeluruh.</w:t>
        <w:br/>
        <w:t>- Tata Kelola SMKI: Penerapan Sistem Manajemen Keamanan Informasi berbasis ISO/IEC 27001 pada sistem elektronik strategis.</w:t>
        <w:br/>
        <w:t>- Kesiapsiagaan Krisis: Pembentukan Tim Tanggap Insiden Siber (CSIRT) terdaftar resmi di BSSN (STR CSIRT) dan SOP tanggap darurat.</w:t>
        <w:br/>
        <w:t>- Kriptografi: Penerapan Sertifikat Elektronik Balai Sertifikasi Elektronik (BSrE) untuk Tanda Tangan Elektronik (TTE) pada seluruh dokumen naskah dinas (Rak).</w:t>
      </w:r>
    </w:p>
    <w:p>
      <w:r>
        <w:br w:type="page"/>
      </w:r>
    </w:p>
    <w:p>
      <w:pPr>
        <w:pStyle w:val="Heading2"/>
      </w:pPr>
      <w:r>
        <w:rPr>
          <w:color w:val="1F4E79"/>
        </w:rPr>
        <w:t>TABEL RINGKASAN PEMETAAN 6 DOMAIN KE SIA-SPBE NASIONAL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4E79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Domain Arsitektur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Kode Referensi Nasional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Status Validasi SIA-SPBE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1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Domain Proses Bisnis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Rab - Referensi Arsitektur Bisnis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Tervalidasi (100% Sesuai)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2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Domain Data &amp; Informasi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Rad - Referensi Arsitektur Data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Tervalidasi (100% Sesuai)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3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Domain Layanan Digital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Ral - Referensi Arsitektur Layanan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Tervalidasi (100% Sesuai)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4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Domain Aplikasi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Raa - Referensi Arsitektur Aplikasi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Tervalidasi (100% Sesuai)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5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Domain Infrastruktur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Rai - Referensi Arsitektur Infrastruktur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Tervalidasi (100% Sesuai)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6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Domain Keamanan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Rak - Referensi Arsitektur Keamanan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Tervalidasi (100% Sesuai)</w:t>
            </w:r>
          </w:p>
        </w:tc>
      </w:tr>
    </w:tbl>
    <w:p>
      <w:r>
        <w:br/>
      </w:r>
    </w:p>
    <w:p>
      <w:pPr>
        <w:jc w:val="right"/>
      </w:pPr>
      <w:r>
        <w:rPr>
          <w:sz w:val="20"/>
        </w:rPr>
        <w:t>Disahkan oleh:</w:t>
        <w:br/>
        <w:t>Tanggal: 05 Januari 2026</w:t>
        <w:br/>
        <w:br/>
      </w:r>
      <w:r>
        <w:rPr>
          <w:b/>
        </w:rPr>
        <w:t>SEKRETARIS DAERAH / KETUA TIM PENGARAH SPBE,</w:t>
        <w:br/>
        <w:br/>
        <w:br/>
        <w:br/>
      </w:r>
      <w:r>
        <w:rPr>
          <w:b/>
        </w:rPr>
        <w:t>[NAMA LENGKAP SEKRETARIS DAERAH]</w:t>
        <w:br/>
        <w:t>NIP. 19700315 199603 1 004</w:t>
        <w:br/>
      </w:r>
      <w:r>
        <w:t>(Telah ditandatangani secara elektronik)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