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PEMERINTAH DAERAH / KEMENTERIAN / LEMBAGA [NAMA INSTANSI]</w:t>
        <w:br/>
      </w:r>
      <w:r>
        <w:rPr>
          <w:b/>
          <w:sz w:val="26"/>
        </w:rPr>
        <w:t>TIM TANGGAP INSIDEN SIBER ([NAMA INSTANSI]-CSIRT)</w:t>
        <w:br/>
      </w:r>
      <w:r>
        <w:rPr>
          <w:color w:val="646464"/>
          <w:sz w:val="18"/>
        </w:rPr>
        <w:t>Laporan Evaluasi Pelaksanaan Latihan Simulasi Tanggap Krisis Siber (Cyber Drill Exercise) &amp; Post-Incident Review</w:t>
        <w:br/>
      </w:r>
    </w:p>
    <w:p>
      <w:pPr>
        <w:jc w:val="center"/>
      </w:pPr>
      <w:r>
        <w:rPr>
          <w:b/>
        </w:rPr>
        <w:t>=================================================================</w:t>
      </w:r>
    </w:p>
    <w:p>
      <w:pPr>
        <w:pStyle w:val="Heading1"/>
        <w:jc w:val="center"/>
      </w:pPr>
      <w:r>
        <w:rPr>
          <w:b/>
          <w:color w:val="1F4E79"/>
          <w:sz w:val="26"/>
        </w:rPr>
        <w:t>LAPORAN RESMI PELAKSANAAN SIMULASI TANGGAP KRISIS SIBER</w:t>
        <w:br/>
        <w:t>(CYBER DRILL EXERCISE) DAN POST-INCIDENT REVIEW (PIR) TAHUN 2026</w:t>
      </w:r>
    </w:p>
    <w:tbl>
      <w:tblPr>
        <w:tblW w:type="auto" w:w="0"/>
        <w:jc w:val="center"/>
        <w:tblLook w:firstColumn="1" w:firstRow="1" w:lastColumn="0" w:lastRow="0" w:noHBand="0" w:noVBand="1" w:val="04A0"/>
      </w:tblPr>
      <w:tblGrid>
        <w:gridCol w:w="4680"/>
        <w:gridCol w:w="4680"/>
      </w:tblGrid>
      <w:tr>
        <w:tc>
          <w:tcPr>
            <w:tcW w:type="dxa" w:w="3168"/>
            <w:shd w:fill="F2F4F7"/>
            <w:tcMar>
              <w:top w:w="60" w:type="dxa"/>
              <w:bottom w:w="60" w:type="dxa"/>
              <w:left w:w="80" w:type="dxa"/>
              <w:right w:w="80" w:type="dxa"/>
            </w:tcMar>
          </w:tcPr>
          <w:p>
            <w:r>
              <w:rPr>
                <w:b/>
              </w:rPr>
              <w:t>Nomor Dokumen</w:t>
            </w:r>
          </w:p>
        </w:tc>
        <w:tc>
          <w:tcPr>
            <w:tcW w:type="dxa" w:w="6192"/>
            <w:tcMar>
              <w:top w:w="60" w:type="dxa"/>
              <w:bottom w:w="60" w:type="dxa"/>
              <w:left w:w="80" w:type="dxa"/>
              <w:right w:w="80" w:type="dxa"/>
            </w:tcMar>
          </w:tcPr>
          <w:p>
            <w:r>
              <w:t>LAP-DRILL-CSIRT-12/2026</w:t>
            </w:r>
          </w:p>
        </w:tc>
      </w:tr>
      <w:tr>
        <w:tc>
          <w:tcPr>
            <w:tcW w:type="dxa" w:w="3168"/>
            <w:shd w:fill="F2F4F7"/>
            <w:tcMar>
              <w:top w:w="60" w:type="dxa"/>
              <w:bottom w:w="60" w:type="dxa"/>
              <w:left w:w="80" w:type="dxa"/>
              <w:right w:w="80" w:type="dxa"/>
            </w:tcMar>
          </w:tcPr>
          <w:p>
            <w:r>
              <w:rPr>
                <w:b/>
              </w:rPr>
              <w:t>Tanggal Pelaksanaan</w:t>
            </w:r>
          </w:p>
        </w:tc>
        <w:tc>
          <w:tcPr>
            <w:tcW w:type="dxa" w:w="6192"/>
            <w:tcMar>
              <w:top w:w="60" w:type="dxa"/>
              <w:bottom w:w="60" w:type="dxa"/>
              <w:left w:w="80" w:type="dxa"/>
              <w:right w:w="80" w:type="dxa"/>
            </w:tcMar>
          </w:tcPr>
          <w:p>
            <w:r>
              <w:t>24-25 Februari 2026</w:t>
            </w:r>
          </w:p>
        </w:tc>
      </w:tr>
      <w:tr>
        <w:tc>
          <w:tcPr>
            <w:tcW w:type="dxa" w:w="3168"/>
            <w:shd w:fill="F2F4F7"/>
            <w:tcMar>
              <w:top w:w="60" w:type="dxa"/>
              <w:bottom w:w="60" w:type="dxa"/>
              <w:left w:w="80" w:type="dxa"/>
              <w:right w:w="80" w:type="dxa"/>
            </w:tcMar>
          </w:tcPr>
          <w:p>
            <w:r>
              <w:rPr>
                <w:b/>
              </w:rPr>
              <w:t>Jenis Latihan</w:t>
            </w:r>
          </w:p>
        </w:tc>
        <w:tc>
          <w:tcPr>
            <w:tcW w:type="dxa" w:w="6192"/>
            <w:tcMar>
              <w:top w:w="60" w:type="dxa"/>
              <w:bottom w:w="60" w:type="dxa"/>
              <w:left w:w="80" w:type="dxa"/>
              <w:right w:w="80" w:type="dxa"/>
            </w:tcMar>
          </w:tcPr>
          <w:p>
            <w:r>
              <w:t>Technical Tabletop &amp; Functional Cyber Drill Bersama BSSN</w:t>
            </w:r>
          </w:p>
        </w:tc>
      </w:tr>
      <w:tr>
        <w:tc>
          <w:tcPr>
            <w:tcW w:type="dxa" w:w="3168"/>
            <w:shd w:fill="F2F4F7"/>
            <w:tcMar>
              <w:top w:w="60" w:type="dxa"/>
              <w:bottom w:w="60" w:type="dxa"/>
              <w:left w:w="80" w:type="dxa"/>
              <w:right w:w="80" w:type="dxa"/>
            </w:tcMar>
          </w:tcPr>
          <w:p>
            <w:r>
              <w:rPr>
                <w:b/>
              </w:rPr>
              <w:t>Skenario Uji</w:t>
            </w:r>
          </w:p>
        </w:tc>
        <w:tc>
          <w:tcPr>
            <w:tcW w:type="dxa" w:w="6192"/>
            <w:tcMar>
              <w:top w:w="60" w:type="dxa"/>
              <w:bottom w:w="60" w:type="dxa"/>
              <w:left w:w="80" w:type="dxa"/>
              <w:right w:w="80" w:type="dxa"/>
            </w:tcMar>
          </w:tcPr>
          <w:p>
            <w:r>
              <w:t>Simulasi Penanganan Serangan Ransomware Terdistribusi pada Basis Data Pelayanan Terpadu Satu Pintu (PTSP)</w:t>
            </w:r>
          </w:p>
        </w:tc>
      </w:tr>
      <w:tr>
        <w:tc>
          <w:tcPr>
            <w:tcW w:type="dxa" w:w="3168"/>
            <w:shd w:fill="F2F4F7"/>
            <w:tcMar>
              <w:top w:w="60" w:type="dxa"/>
              <w:bottom w:w="60" w:type="dxa"/>
              <w:left w:w="80" w:type="dxa"/>
              <w:right w:w="80" w:type="dxa"/>
            </w:tcMar>
          </w:tcPr>
          <w:p>
            <w:r>
              <w:rPr>
                <w:b/>
              </w:rPr>
              <w:t>Tingkat Kematangan Bukti</w:t>
            </w:r>
          </w:p>
        </w:tc>
        <w:tc>
          <w:tcPr>
            <w:tcW w:type="dxa" w:w="6192"/>
            <w:tcMar>
              <w:top w:w="60" w:type="dxa"/>
              <w:bottom w:w="60" w:type="dxa"/>
              <w:left w:w="80" w:type="dxa"/>
              <w:right w:w="80" w:type="dxa"/>
            </w:tcMar>
          </w:tcPr>
          <w:p>
            <w:r>
              <w:t>Standar Pemenuhan Level 5 (Optimum) PermenPANRB No. 8/2026 Indikator 12</w:t>
            </w:r>
          </w:p>
        </w:tc>
      </w:tr>
    </w:tbl>
    <w:p>
      <w:r>
        <w:br/>
      </w:r>
    </w:p>
    <w:p>
      <w:pPr>
        <w:pStyle w:val="Heading2"/>
      </w:pPr>
      <w:r>
        <w:rPr>
          <w:color w:val="1F4E79"/>
        </w:rPr>
        <w:t>I. LATAR BELAKANG DAN TUJUAN LATIHAN</w:t>
      </w:r>
    </w:p>
    <w:p>
      <w:r>
        <w:t>Sebagai bagian dari komitmen pengamanan ruang siber dan kepatuhan terhadap indikator Level 5 Evaluasi Kinerja Pemerintahan Digital (PermenPANRB No. 8 Tahun 2026), Tim CSIRT Instansi secara rutin menyelenggarakan latihan simulasi krisis siber (Cyber Drill). Latihan ini bertujuan untuk menguji kesiapsiagaan personel tanggap insiden, mengukur efektivitas SOP penanganan insiden, memvalidasi rantai komando koordinasi eskalasi dengan BSSN, serta memastikan mekanisme pemulihan data cadangan (disaster recovery) dapat berjalan sesuai target RTO dan RPO yang telah ditetapkan.</w:t>
      </w:r>
    </w:p>
    <w:p>
      <w:pPr>
        <w:pStyle w:val="Heading2"/>
      </w:pPr>
      <w:r>
        <w:rPr>
          <w:color w:val="1F4E79"/>
        </w:rPr>
        <w:t>II. SKENARIO INJEKSI SERANGAN DAN JADWAL SIMULASI</w:t>
      </w:r>
    </w:p>
    <w:tbl>
      <w:tblPr>
        <w:tblW w:type="auto" w:w="0"/>
        <w:jc w:val="center"/>
        <w:tblLook w:firstColumn="1" w:firstRow="1" w:lastColumn="0" w:lastRow="0" w:noHBand="0" w:noVBand="1" w:val="04A0"/>
      </w:tblPr>
      <w:tblGrid>
        <w:gridCol w:w="2340"/>
        <w:gridCol w:w="2340"/>
        <w:gridCol w:w="2340"/>
        <w:gridCol w:w="2340"/>
      </w:tblGrid>
      <w:tr>
        <w:tc>
          <w:tcPr>
            <w:tcW w:type="dxa" w:w="1584"/>
            <w:shd w:fill="1F4E79"/>
          </w:tcPr>
          <w:p>
            <w:r>
              <w:rPr>
                <w:b/>
                <w:color w:val="FFFFFF"/>
              </w:rPr>
              <w:t>Waktu / Jam</w:t>
            </w:r>
          </w:p>
        </w:tc>
        <w:tc>
          <w:tcPr>
            <w:tcW w:type="dxa" w:w="3168"/>
            <w:shd w:fill="1F4E79"/>
          </w:tcPr>
          <w:p>
            <w:r>
              <w:rPr>
                <w:b/>
                <w:color w:val="FFFFFF"/>
              </w:rPr>
              <w:t>Tahap Injeksi Skenario (Red Team)</w:t>
            </w:r>
          </w:p>
        </w:tc>
        <w:tc>
          <w:tcPr>
            <w:tcW w:type="dxa" w:w="3312"/>
            <w:shd w:fill="1F4E79"/>
          </w:tcPr>
          <w:p>
            <w:r>
              <w:rPr>
                <w:b/>
                <w:color w:val="FFFFFF"/>
              </w:rPr>
              <w:t>Respon &amp; Tindakan Tim CSIRT (Blue Team)</w:t>
            </w:r>
          </w:p>
        </w:tc>
        <w:tc>
          <w:tcPr>
            <w:tcW w:type="dxa" w:w="1728"/>
            <w:shd w:fill="1F4E79"/>
          </w:tcPr>
          <w:p>
            <w:r>
              <w:rPr>
                <w:b/>
                <w:color w:val="FFFFFF"/>
              </w:rPr>
              <w:t>Hasil Evaluasi</w:t>
            </w:r>
          </w:p>
        </w:tc>
      </w:tr>
      <w:tr>
        <w:tc>
          <w:tcPr>
            <w:tcW w:type="dxa" w:w="2340"/>
            <w:tcMar>
              <w:top w:w="50" w:type="dxa"/>
              <w:bottom w:w="50" w:type="dxa"/>
              <w:left w:w="60" w:type="dxa"/>
              <w:right w:w="60" w:type="dxa"/>
            </w:tcMar>
          </w:tcPr>
          <w:p>
            <w:r>
              <w:rPr>
                <w:b/>
              </w:rPr>
              <w:t>Hari 1, 09:00</w:t>
            </w:r>
          </w:p>
        </w:tc>
        <w:tc>
          <w:tcPr>
            <w:tcW w:type="dxa" w:w="2340"/>
            <w:tcMar>
              <w:top w:w="50" w:type="dxa"/>
              <w:bottom w:w="50" w:type="dxa"/>
              <w:left w:w="60" w:type="dxa"/>
              <w:right w:w="60" w:type="dxa"/>
            </w:tcMar>
          </w:tcPr>
          <w:p>
            <w:r>
              <w:t>Injeksi email spear-phishing berlampiran macro ke staf admin PTSP</w:t>
            </w:r>
          </w:p>
        </w:tc>
        <w:tc>
          <w:tcPr>
            <w:tcW w:type="dxa" w:w="2340"/>
            <w:tcMar>
              <w:top w:w="50" w:type="dxa"/>
              <w:bottom w:w="50" w:type="dxa"/>
              <w:left w:w="60" w:type="dxa"/>
              <w:right w:w="60" w:type="dxa"/>
            </w:tcMar>
          </w:tcPr>
          <w:p>
            <w:r>
              <w:t>Penerimaan aduan staf -&gt; Triase dan deteksi indikator IoC hash file berbahaya</w:t>
            </w:r>
          </w:p>
        </w:tc>
        <w:tc>
          <w:tcPr>
            <w:tcW w:type="dxa" w:w="2340"/>
            <w:tcMar>
              <w:top w:w="50" w:type="dxa"/>
              <w:bottom w:w="50" w:type="dxa"/>
              <w:left w:w="60" w:type="dxa"/>
              <w:right w:w="60" w:type="dxa"/>
            </w:tcMar>
          </w:tcPr>
          <w:p>
            <w:r>
              <w:t>Sukses terdeteksi dalam 8 menit</w:t>
            </w:r>
          </w:p>
        </w:tc>
      </w:tr>
      <w:tr>
        <w:tc>
          <w:tcPr>
            <w:tcW w:type="dxa" w:w="2340"/>
            <w:tcMar>
              <w:top w:w="50" w:type="dxa"/>
              <w:bottom w:w="50" w:type="dxa"/>
              <w:left w:w="60" w:type="dxa"/>
              <w:right w:w="60" w:type="dxa"/>
            </w:tcMar>
            <w:shd w:fill="F9FAFB"/>
          </w:tcPr>
          <w:p>
            <w:r>
              <w:rPr>
                <w:b/>
              </w:rPr>
              <w:t>Hari 1, 10:30</w:t>
            </w:r>
          </w:p>
        </w:tc>
        <w:tc>
          <w:tcPr>
            <w:tcW w:type="dxa" w:w="2340"/>
            <w:tcMar>
              <w:top w:w="50" w:type="dxa"/>
              <w:bottom w:w="50" w:type="dxa"/>
              <w:left w:w="60" w:type="dxa"/>
              <w:right w:w="60" w:type="dxa"/>
            </w:tcMar>
            <w:shd w:fill="F9FAFB"/>
          </w:tcPr>
          <w:p>
            <w:r>
              <w:t>Simulasi eksploitasi lateral movement menuju database server</w:t>
            </w:r>
          </w:p>
        </w:tc>
        <w:tc>
          <w:tcPr>
            <w:tcW w:type="dxa" w:w="2340"/>
            <w:tcMar>
              <w:top w:w="50" w:type="dxa"/>
              <w:bottom w:w="50" w:type="dxa"/>
              <w:left w:w="60" w:type="dxa"/>
              <w:right w:w="60" w:type="dxa"/>
            </w:tcMar>
            <w:shd w:fill="F9FAFB"/>
          </w:tcPr>
          <w:p>
            <w:r>
              <w:t>Aktivasi sensor EDR -&gt; Isolasi VLAN server database dari jaringan publik</w:t>
            </w:r>
          </w:p>
        </w:tc>
        <w:tc>
          <w:tcPr>
            <w:tcW w:type="dxa" w:w="2340"/>
            <w:tcMar>
              <w:top w:w="50" w:type="dxa"/>
              <w:bottom w:w="50" w:type="dxa"/>
              <w:left w:w="60" w:type="dxa"/>
              <w:right w:w="60" w:type="dxa"/>
            </w:tcMar>
            <w:shd w:fill="F9FAFB"/>
          </w:tcPr>
          <w:p>
            <w:r>
              <w:t>Isolasi tuntas dalam 12 menit</w:t>
            </w:r>
          </w:p>
        </w:tc>
      </w:tr>
      <w:tr>
        <w:tc>
          <w:tcPr>
            <w:tcW w:type="dxa" w:w="2340"/>
            <w:tcMar>
              <w:top w:w="50" w:type="dxa"/>
              <w:bottom w:w="50" w:type="dxa"/>
              <w:left w:w="60" w:type="dxa"/>
              <w:right w:w="60" w:type="dxa"/>
            </w:tcMar>
          </w:tcPr>
          <w:p>
            <w:r>
              <w:rPr>
                <w:b/>
              </w:rPr>
              <w:t>Hari 1, 13:00</w:t>
            </w:r>
          </w:p>
        </w:tc>
        <w:tc>
          <w:tcPr>
            <w:tcW w:type="dxa" w:w="2340"/>
            <w:tcMar>
              <w:top w:w="50" w:type="dxa"/>
              <w:bottom w:w="50" w:type="dxa"/>
              <w:left w:w="60" w:type="dxa"/>
              <w:right w:w="60" w:type="dxa"/>
            </w:tcMar>
          </w:tcPr>
          <w:p>
            <w:r>
              <w:t>Simulasi enkripsi ransomware dummy pada direktori arsip perizinan</w:t>
            </w:r>
          </w:p>
        </w:tc>
        <w:tc>
          <w:tcPr>
            <w:tcW w:type="dxa" w:w="2340"/>
            <w:tcMar>
              <w:top w:w="50" w:type="dxa"/>
              <w:bottom w:w="50" w:type="dxa"/>
              <w:left w:w="60" w:type="dxa"/>
              <w:right w:w="60" w:type="dxa"/>
            </w:tcMar>
          </w:tcPr>
          <w:p>
            <w:r>
              <w:t>Deklarasi status Insiden Severity-1 oleh Incident Commander CSIRT</w:t>
            </w:r>
          </w:p>
        </w:tc>
        <w:tc>
          <w:tcPr>
            <w:tcW w:type="dxa" w:w="2340"/>
            <w:tcMar>
              <w:top w:w="50" w:type="dxa"/>
              <w:bottom w:w="50" w:type="dxa"/>
              <w:left w:w="60" w:type="dxa"/>
              <w:right w:w="60" w:type="dxa"/>
            </w:tcMar>
          </w:tcPr>
          <w:p>
            <w:r>
              <w:t>Pemberitahuan resmi ke pimpinan</w:t>
            </w:r>
          </w:p>
        </w:tc>
      </w:tr>
      <w:tr>
        <w:tc>
          <w:tcPr>
            <w:tcW w:type="dxa" w:w="2340"/>
            <w:tcMar>
              <w:top w:w="50" w:type="dxa"/>
              <w:bottom w:w="50" w:type="dxa"/>
              <w:left w:w="60" w:type="dxa"/>
              <w:right w:w="60" w:type="dxa"/>
            </w:tcMar>
            <w:shd w:fill="F9FAFB"/>
          </w:tcPr>
          <w:p>
            <w:r>
              <w:rPr>
                <w:b/>
              </w:rPr>
              <w:t>Hari 2, 09:30</w:t>
            </w:r>
          </w:p>
        </w:tc>
        <w:tc>
          <w:tcPr>
            <w:tcW w:type="dxa" w:w="2340"/>
            <w:tcMar>
              <w:top w:w="50" w:type="dxa"/>
              <w:bottom w:w="50" w:type="dxa"/>
              <w:left w:w="60" w:type="dxa"/>
              <w:right w:w="60" w:type="dxa"/>
            </w:tcMar>
            <w:shd w:fill="F9FAFB"/>
          </w:tcPr>
          <w:p>
            <w:r>
              <w:t>Simulasi koordinasi laporan insiden darurat ke Gov-CSIRT BSSN</w:t>
            </w:r>
          </w:p>
        </w:tc>
        <w:tc>
          <w:tcPr>
            <w:tcW w:type="dxa" w:w="2340"/>
            <w:tcMar>
              <w:top w:w="50" w:type="dxa"/>
              <w:bottom w:w="50" w:type="dxa"/>
              <w:left w:w="60" w:type="dxa"/>
              <w:right w:w="60" w:type="dxa"/>
            </w:tcMar>
            <w:shd w:fill="F9FAFB"/>
          </w:tcPr>
          <w:p>
            <w:r>
              <w:t>Penyampaian tiket insiden dan permintaan asistensi teknis forensik BSSN</w:t>
            </w:r>
          </w:p>
        </w:tc>
        <w:tc>
          <w:tcPr>
            <w:tcW w:type="dxa" w:w="2340"/>
            <w:tcMar>
              <w:top w:w="50" w:type="dxa"/>
              <w:bottom w:w="50" w:type="dxa"/>
              <w:left w:w="60" w:type="dxa"/>
              <w:right w:w="60" w:type="dxa"/>
            </w:tcMar>
            <w:shd w:fill="F9FAFB"/>
          </w:tcPr>
          <w:p>
            <w:r>
              <w:t>Terkonfirmasi via kanal aman</w:t>
            </w:r>
          </w:p>
        </w:tc>
      </w:tr>
      <w:tr>
        <w:tc>
          <w:tcPr>
            <w:tcW w:type="dxa" w:w="2340"/>
            <w:tcMar>
              <w:top w:w="50" w:type="dxa"/>
              <w:bottom w:w="50" w:type="dxa"/>
              <w:left w:w="60" w:type="dxa"/>
              <w:right w:w="60" w:type="dxa"/>
            </w:tcMar>
          </w:tcPr>
          <w:p>
            <w:r>
              <w:rPr>
                <w:b/>
              </w:rPr>
              <w:t>Hari 2, 11:00</w:t>
            </w:r>
          </w:p>
        </w:tc>
        <w:tc>
          <w:tcPr>
            <w:tcW w:type="dxa" w:w="2340"/>
            <w:tcMar>
              <w:top w:w="50" w:type="dxa"/>
              <w:bottom w:w="50" w:type="dxa"/>
              <w:left w:w="60" w:type="dxa"/>
              <w:right w:w="60" w:type="dxa"/>
            </w:tcMar>
          </w:tcPr>
          <w:p>
            <w:r>
              <w:t>Simulasi failover dan pemulihan data dari immutable cloud backup</w:t>
            </w:r>
          </w:p>
        </w:tc>
        <w:tc>
          <w:tcPr>
            <w:tcW w:type="dxa" w:w="2340"/>
            <w:tcMar>
              <w:top w:w="50" w:type="dxa"/>
              <w:bottom w:w="50" w:type="dxa"/>
              <w:left w:w="60" w:type="dxa"/>
              <w:right w:w="60" w:type="dxa"/>
            </w:tcMar>
          </w:tcPr>
          <w:p>
            <w:r>
              <w:t>Eksekusi disaster recovery script -&gt; Verifikasi integritas checksum data</w:t>
            </w:r>
          </w:p>
        </w:tc>
        <w:tc>
          <w:tcPr>
            <w:tcW w:type="dxa" w:w="2340"/>
            <w:tcMar>
              <w:top w:w="50" w:type="dxa"/>
              <w:bottom w:w="50" w:type="dxa"/>
              <w:left w:w="60" w:type="dxa"/>
              <w:right w:w="60" w:type="dxa"/>
            </w:tcMar>
          </w:tcPr>
          <w:p>
            <w:r>
              <w:t>Layanan pulih RTO 1 Jam 45 Mnt</w:t>
            </w:r>
          </w:p>
        </w:tc>
      </w:tr>
    </w:tbl>
    <w:p>
      <w:pPr>
        <w:pStyle w:val="Heading2"/>
      </w:pPr>
      <w:r>
        <w:rPr>
          <w:color w:val="1F4E79"/>
        </w:rPr>
        <w:t>III. PENGUKURAN METRIK KINERJA (RTO, RPO, MTTD, MTTR)</w:t>
      </w:r>
    </w:p>
    <w:tbl>
      <w:tblPr>
        <w:tblW w:type="auto" w:w="0"/>
        <w:jc w:val="center"/>
        <w:tblLook w:firstColumn="1" w:firstRow="1" w:lastColumn="0" w:lastRow="0" w:noHBand="0" w:noVBand="1" w:val="04A0"/>
      </w:tblPr>
      <w:tblGrid>
        <w:gridCol w:w="2340"/>
        <w:gridCol w:w="2340"/>
        <w:gridCol w:w="2340"/>
        <w:gridCol w:w="2340"/>
      </w:tblGrid>
      <w:tr>
        <w:tc>
          <w:tcPr>
            <w:tcW w:type="dxa" w:w="3168"/>
            <w:shd w:fill="1F4E79"/>
          </w:tcPr>
          <w:p>
            <w:r>
              <w:rPr>
                <w:b/>
                <w:color w:val="FFFFFF"/>
              </w:rPr>
              <w:t>Parameter Metrik</w:t>
            </w:r>
          </w:p>
        </w:tc>
        <w:tc>
          <w:tcPr>
            <w:tcW w:type="dxa" w:w="2160"/>
            <w:shd w:fill="1F4E79"/>
          </w:tcPr>
          <w:p>
            <w:r>
              <w:rPr>
                <w:b/>
                <w:color w:val="FFFFFF"/>
              </w:rPr>
              <w:t>Standar Target SLA</w:t>
            </w:r>
          </w:p>
        </w:tc>
        <w:tc>
          <w:tcPr>
            <w:tcW w:type="dxa" w:w="2160"/>
            <w:shd w:fill="1F4E79"/>
          </w:tcPr>
          <w:p>
            <w:r>
              <w:rPr>
                <w:b/>
                <w:color w:val="FFFFFF"/>
              </w:rPr>
              <w:t>Hasil Capaian Simulasi</w:t>
            </w:r>
          </w:p>
        </w:tc>
        <w:tc>
          <w:tcPr>
            <w:tcW w:type="dxa" w:w="1872"/>
            <w:shd w:fill="1F4E79"/>
          </w:tcPr>
          <w:p>
            <w:r>
              <w:rPr>
                <w:b/>
                <w:color w:val="FFFFFF"/>
              </w:rPr>
              <w:t>Status Kepatuhan</w:t>
            </w:r>
          </w:p>
        </w:tc>
      </w:tr>
      <w:tr>
        <w:tc>
          <w:tcPr>
            <w:tcW w:type="dxa" w:w="2340"/>
            <w:tcMar>
              <w:top w:w="50" w:type="dxa"/>
              <w:bottom w:w="50" w:type="dxa"/>
              <w:left w:w="70" w:type="dxa"/>
              <w:right w:w="70" w:type="dxa"/>
            </w:tcMar>
          </w:tcPr>
          <w:p>
            <w:r>
              <w:rPr>
                <w:b/>
              </w:rPr>
              <w:t>Mean Time to Detect (MTTD)</w:t>
            </w:r>
          </w:p>
        </w:tc>
        <w:tc>
          <w:tcPr>
            <w:tcW w:type="dxa" w:w="2340"/>
            <w:tcMar>
              <w:top w:w="50" w:type="dxa"/>
              <w:bottom w:w="50" w:type="dxa"/>
              <w:left w:w="70" w:type="dxa"/>
              <w:right w:w="70" w:type="dxa"/>
            </w:tcMar>
          </w:tcPr>
          <w:p>
            <w:r>
              <w:t>&lt;= 15 Menit</w:t>
            </w:r>
          </w:p>
        </w:tc>
        <w:tc>
          <w:tcPr>
            <w:tcW w:type="dxa" w:w="2340"/>
            <w:tcMar>
              <w:top w:w="50" w:type="dxa"/>
              <w:bottom w:w="50" w:type="dxa"/>
              <w:left w:w="70" w:type="dxa"/>
              <w:right w:w="70" w:type="dxa"/>
            </w:tcMar>
          </w:tcPr>
          <w:p>
            <w:r>
              <w:t>8 Menit</w:t>
            </w:r>
          </w:p>
        </w:tc>
        <w:tc>
          <w:tcPr>
            <w:tcW w:type="dxa" w:w="2340"/>
            <w:tcMar>
              <w:top w:w="50" w:type="dxa"/>
              <w:bottom w:w="50" w:type="dxa"/>
              <w:left w:w="70" w:type="dxa"/>
              <w:right w:w="70" w:type="dxa"/>
            </w:tcMar>
          </w:tcPr>
          <w:p>
            <w:r>
              <w:rPr>
                <w:b/>
              </w:rPr>
              <w:t>MEMENUHI TARGET</w:t>
            </w:r>
          </w:p>
        </w:tc>
      </w:tr>
      <w:tr>
        <w:tc>
          <w:tcPr>
            <w:tcW w:type="dxa" w:w="2340"/>
            <w:tcMar>
              <w:top w:w="50" w:type="dxa"/>
              <w:bottom w:w="50" w:type="dxa"/>
              <w:left w:w="70" w:type="dxa"/>
              <w:right w:w="70" w:type="dxa"/>
            </w:tcMar>
            <w:shd w:fill="F9FAFB"/>
          </w:tcPr>
          <w:p>
            <w:r>
              <w:rPr>
                <w:b/>
              </w:rPr>
              <w:t>Mean Time to Respond / Isolate</w:t>
            </w:r>
          </w:p>
        </w:tc>
        <w:tc>
          <w:tcPr>
            <w:tcW w:type="dxa" w:w="2340"/>
            <w:tcMar>
              <w:top w:w="50" w:type="dxa"/>
              <w:bottom w:w="50" w:type="dxa"/>
              <w:left w:w="70" w:type="dxa"/>
              <w:right w:w="70" w:type="dxa"/>
            </w:tcMar>
            <w:shd w:fill="F9FAFB"/>
          </w:tcPr>
          <w:p>
            <w:r>
              <w:t>&lt;= 30 Menit</w:t>
            </w:r>
          </w:p>
        </w:tc>
        <w:tc>
          <w:tcPr>
            <w:tcW w:type="dxa" w:w="2340"/>
            <w:tcMar>
              <w:top w:w="50" w:type="dxa"/>
              <w:bottom w:w="50" w:type="dxa"/>
              <w:left w:w="70" w:type="dxa"/>
              <w:right w:w="70" w:type="dxa"/>
            </w:tcMar>
            <w:shd w:fill="F9FAFB"/>
          </w:tcPr>
          <w:p>
            <w:r>
              <w:t>12 Menit</w:t>
            </w:r>
          </w:p>
        </w:tc>
        <w:tc>
          <w:tcPr>
            <w:tcW w:type="dxa" w:w="2340"/>
            <w:tcMar>
              <w:top w:w="50" w:type="dxa"/>
              <w:bottom w:w="50" w:type="dxa"/>
              <w:left w:w="70" w:type="dxa"/>
              <w:right w:w="70" w:type="dxa"/>
            </w:tcMar>
            <w:shd w:fill="F9FAFB"/>
          </w:tcPr>
          <w:p>
            <w:r>
              <w:rPr>
                <w:b/>
              </w:rPr>
              <w:t>MEMENUHI TARGET</w:t>
            </w:r>
          </w:p>
        </w:tc>
      </w:tr>
      <w:tr>
        <w:tc>
          <w:tcPr>
            <w:tcW w:type="dxa" w:w="2340"/>
            <w:tcMar>
              <w:top w:w="50" w:type="dxa"/>
              <w:bottom w:w="50" w:type="dxa"/>
              <w:left w:w="70" w:type="dxa"/>
              <w:right w:w="70" w:type="dxa"/>
            </w:tcMar>
          </w:tcPr>
          <w:p>
            <w:r>
              <w:rPr>
                <w:b/>
              </w:rPr>
              <w:t>Recovery Time Objective (RTO)</w:t>
            </w:r>
          </w:p>
        </w:tc>
        <w:tc>
          <w:tcPr>
            <w:tcW w:type="dxa" w:w="2340"/>
            <w:tcMar>
              <w:top w:w="50" w:type="dxa"/>
              <w:bottom w:w="50" w:type="dxa"/>
              <w:left w:w="70" w:type="dxa"/>
              <w:right w:w="70" w:type="dxa"/>
            </w:tcMar>
          </w:tcPr>
          <w:p>
            <w:r>
              <w:t>&lt;= 4 Jam</w:t>
            </w:r>
          </w:p>
        </w:tc>
        <w:tc>
          <w:tcPr>
            <w:tcW w:type="dxa" w:w="2340"/>
            <w:tcMar>
              <w:top w:w="50" w:type="dxa"/>
              <w:bottom w:w="50" w:type="dxa"/>
              <w:left w:w="70" w:type="dxa"/>
              <w:right w:w="70" w:type="dxa"/>
            </w:tcMar>
          </w:tcPr>
          <w:p>
            <w:r>
              <w:t>1 Jam 45 Menit</w:t>
            </w:r>
          </w:p>
        </w:tc>
        <w:tc>
          <w:tcPr>
            <w:tcW w:type="dxa" w:w="2340"/>
            <w:tcMar>
              <w:top w:w="50" w:type="dxa"/>
              <w:bottom w:w="50" w:type="dxa"/>
              <w:left w:w="70" w:type="dxa"/>
              <w:right w:w="70" w:type="dxa"/>
            </w:tcMar>
          </w:tcPr>
          <w:p>
            <w:r>
              <w:rPr>
                <w:b/>
              </w:rPr>
              <w:t>MEMENUHI TARGET</w:t>
            </w:r>
          </w:p>
        </w:tc>
      </w:tr>
      <w:tr>
        <w:tc>
          <w:tcPr>
            <w:tcW w:type="dxa" w:w="2340"/>
            <w:tcMar>
              <w:top w:w="50" w:type="dxa"/>
              <w:bottom w:w="50" w:type="dxa"/>
              <w:left w:w="70" w:type="dxa"/>
              <w:right w:w="70" w:type="dxa"/>
            </w:tcMar>
            <w:shd w:fill="F9FAFB"/>
          </w:tcPr>
          <w:p>
            <w:r>
              <w:rPr>
                <w:b/>
              </w:rPr>
              <w:t>Recovery Point Objective (RPO)</w:t>
            </w:r>
          </w:p>
        </w:tc>
        <w:tc>
          <w:tcPr>
            <w:tcW w:type="dxa" w:w="2340"/>
            <w:tcMar>
              <w:top w:w="50" w:type="dxa"/>
              <w:bottom w:w="50" w:type="dxa"/>
              <w:left w:w="70" w:type="dxa"/>
              <w:right w:w="70" w:type="dxa"/>
            </w:tcMar>
            <w:shd w:fill="F9FAFB"/>
          </w:tcPr>
          <w:p>
            <w:r>
              <w:t>&lt;= 1 Jam hilangnya data</w:t>
            </w:r>
          </w:p>
        </w:tc>
        <w:tc>
          <w:tcPr>
            <w:tcW w:type="dxa" w:w="2340"/>
            <w:tcMar>
              <w:top w:w="50" w:type="dxa"/>
              <w:bottom w:w="50" w:type="dxa"/>
              <w:left w:w="70" w:type="dxa"/>
              <w:right w:w="70" w:type="dxa"/>
            </w:tcMar>
            <w:shd w:fill="F9FAFB"/>
          </w:tcPr>
          <w:p>
            <w:r>
              <w:t>15 Menit transaksi terakhir</w:t>
            </w:r>
          </w:p>
        </w:tc>
        <w:tc>
          <w:tcPr>
            <w:tcW w:type="dxa" w:w="2340"/>
            <w:tcMar>
              <w:top w:w="50" w:type="dxa"/>
              <w:bottom w:w="50" w:type="dxa"/>
              <w:left w:w="70" w:type="dxa"/>
              <w:right w:w="70" w:type="dxa"/>
            </w:tcMar>
            <w:shd w:fill="F9FAFB"/>
          </w:tcPr>
          <w:p>
            <w:r>
              <w:rPr>
                <w:b/>
              </w:rPr>
              <w:t>MEMENUHI TARGET</w:t>
            </w:r>
          </w:p>
        </w:tc>
      </w:tr>
    </w:tbl>
    <w:p>
      <w:pPr>
        <w:pStyle w:val="Heading2"/>
      </w:pPr>
      <w:r>
        <w:rPr>
          <w:color w:val="1F4E79"/>
        </w:rPr>
        <w:t>IV. REKOMENDASI POST-INCIDENT REVIEW (PIR) DAN RENCANA AKSI</w:t>
      </w:r>
    </w:p>
    <w:p>
      <w:pPr>
        <w:ind w:left="288"/>
      </w:pPr>
      <w:r>
        <w:rPr>
          <w:b/>
        </w:rPr>
        <w:t xml:space="preserve">1. Penguatan Endpoint Detection &amp; Response (EDR): </w:t>
      </w:r>
      <w:r>
        <w:t>Memperluas pemasangan agen sensor EDR aktif ke seluruh server basis data pelayanan publik dan workstation pejabat pengesah izin.</w:t>
      </w:r>
    </w:p>
    <w:p>
      <w:pPr>
        <w:ind w:left="288"/>
      </w:pPr>
      <w:r>
        <w:rPr>
          <w:b/>
        </w:rPr>
        <w:t xml:space="preserve">2. Penerapan Zero Trust Architecture &amp; Network Segmentation: </w:t>
      </w:r>
      <w:r>
        <w:t>Memisahkan jaringan operasional kantor internal (LAN) dengan segmen Server DMZ publik menggunakan Next-Generation Firewall (NGFW).</w:t>
      </w:r>
    </w:p>
    <w:p>
      <w:pPr>
        <w:ind w:left="288"/>
      </w:pPr>
      <w:r>
        <w:rPr>
          <w:b/>
        </w:rPr>
        <w:t xml:space="preserve">3. Kampanye Keamanan Siber (Security Awareness Training): </w:t>
      </w:r>
      <w:r>
        <w:t>Menyelenggarakan simulasi phishing berkala bagi seluruh ASN instansi setiap triwulan guna meminimalkan risiko human error.</w:t>
      </w:r>
    </w:p>
    <w:p>
      <w:pPr>
        <w:ind w:left="288"/>
      </w:pPr>
      <w:r>
        <w:rPr>
          <w:b/>
        </w:rPr>
        <w:t xml:space="preserve">4. Automasi Pelaporan ke Gov-CSIRT BSSN: </w:t>
      </w:r>
      <w:r>
        <w:t>Mengintegrasikan REST API ticketing internal dengan sistem monitoring Pusat Operasi Keamanan Siber Nasional BSSN.</w:t>
      </w:r>
    </w:p>
    <w:p>
      <w:r>
        <w:br/>
      </w:r>
    </w:p>
    <w:p>
      <w:pPr>
        <w:jc w:val="right"/>
      </w:pPr>
      <w:r>
        <w:rPr>
          <w:sz w:val="20"/>
        </w:rPr>
        <w:t>Disahkan oleh:</w:t>
        <w:br/>
        <w:t>Tanggal: 28 Februari 2026</w:t>
        <w:br/>
        <w:br/>
      </w:r>
      <w:r>
        <w:rPr>
          <w:b/>
        </w:rPr>
        <w:t>KETUA TIM CSIRT INSTANSI,</w:t>
        <w:br/>
        <w:br/>
        <w:br/>
        <w:br/>
      </w:r>
      <w:r>
        <w:rPr>
          <w:b/>
        </w:rPr>
        <w:t>[NAMA LENGKAP KETUA CSIRT]</w:t>
        <w:br/>
        <w:t>NIP. 19820415 200501 1 003</w:t>
        <w:br/>
      </w:r>
      <w:r>
        <w:t>(Telah ditandatangani secara elektronik)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