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4: KEAMANAN PEMERINTAH DIGITAL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KERANGKA ACUAN KERJA (KAK) &amp; LAPORAN HASIL AUDIT TIK DAN PENGUJIAN PENETRASI (VAPT)</w:t>
        <w:br/>
      </w:r>
      <w:r>
        <w:rPr>
          <w:b/>
          <w:sz w:val="22"/>
        </w:rPr>
        <w:t>AUDIT-TIK/2026/009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IND-09 - Audit Teknologi Informasi dan Komunikasi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4: Keamanan Pemerintah Digital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LATAR BELAKANG AUDIT</w:t>
      </w:r>
    </w:p>
    <w:p>
      <w:pPr>
        <w:spacing w:line="276" w:lineRule="auto" w:after="120"/>
      </w:pPr>
      <w:r>
        <w:rPr>
          <w:sz w:val="21"/>
        </w:rPr>
        <w:t>Memenuhi ketentuan audit berkala infrastruktur, aplikasi, dan tata kelola TIK instansi minimal sekali dalam 2 tahun sesuai standar BSSN dan PermenPANRB No. 8/2026.</w:t>
      </w:r>
    </w:p>
    <w:p>
      <w:r>
        <w:rPr>
          <w:b/>
          <w:color w:val="1E3A8A"/>
          <w:sz w:val="22"/>
        </w:rPr>
        <w:t>2. RUANG LINGKUP PEMERIKSAAN</w:t>
      </w:r>
    </w:p>
    <w:p>
      <w:pPr>
        <w:spacing w:line="276" w:lineRule="auto" w:after="120"/>
      </w:pPr>
      <w:r>
        <w:rPr>
          <w:sz w:val="21"/>
        </w:rPr>
        <w:t>Vulnerability Assessment &amp; Penetration Testing (VAPT) terhadap 10 sistem elektronik prioritas, review konfigurasi firewall/switch, dan audit kepatuhan lisensi perangkat lunak.</w:t>
      </w:r>
    </w:p>
    <w:p>
      <w:r>
        <w:rPr>
          <w:b/>
          <w:color w:val="1E3A8A"/>
          <w:sz w:val="22"/>
        </w:rPr>
        <w:t>3. RINGKASAN EKSEKUTIF TEMUAN AUDIT</w:t>
      </w:r>
    </w:p>
    <w:p>
      <w:pPr>
        <w:spacing w:line="276" w:lineRule="auto" w:after="120"/>
      </w:pPr>
      <w:r>
        <w:rPr>
          <w:sz w:val="21"/>
        </w:rPr>
        <w:t>Klasifikasi temuan Critical, High, Medium, dan Low, serta rekomendasi teknis perbaikan arsitektur dan patch keamanan.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