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6: KETERPADUAN LAYANAN DIGITAL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DOKUMEN SPESIFIKASI KEBUTUHAN SISTEM &amp; ARSITEKTUR SUPER-APP LAYANAN PUBLIK TERPADU</w:t>
        <w:br/>
      </w:r>
      <w:r>
        <w:rPr>
          <w:b/>
          <w:sz w:val="22"/>
        </w:rPr>
        <w:t>SPEC-SUPERAPP/2026/017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IND-17 - Penerapan Portal Satu Data &amp; Super-App Layanan Terpadu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6: Keterpaduan Layanan Digital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KONSEP SUPER-APP PEMERINTAHAN DAERAH</w:t>
      </w:r>
    </w:p>
    <w:p>
      <w:pPr>
        <w:spacing w:line="276" w:lineRule="auto" w:after="120"/>
      </w:pPr>
      <w:r>
        <w:rPr>
          <w:sz w:val="21"/>
        </w:rPr>
        <w:t>Satu aplikasi mobile terpadu (Android &amp; iOS) yang memadukan layanan kependudukan, perizinan, kesehatan, pendidikan, transportasi, dan pembayaran pajak.</w:t>
      </w:r>
    </w:p>
    <w:p>
      <w:r>
        <w:rPr>
          <w:b/>
          <w:color w:val="1E3A8A"/>
          <w:sz w:val="22"/>
        </w:rPr>
        <w:t>2. SISTEM IDENTITAS TUNGGAL (SINGLE SIGN-ON / SSO)</w:t>
      </w:r>
    </w:p>
    <w:p>
      <w:pPr>
        <w:spacing w:line="276" w:lineRule="auto" w:after="120"/>
      </w:pPr>
      <w:r>
        <w:rPr>
          <w:sz w:val="21"/>
        </w:rPr>
        <w:t>Autentikasi warga menggunakan NIK dan biometric face recognition terhubung ke Identitas Kependudukan Digital (IKD) Kemendagri.</w:t>
      </w:r>
    </w:p>
    <w:p>
      <w:r>
        <w:rPr>
          <w:b/>
          <w:color w:val="1E3A8A"/>
          <w:sz w:val="22"/>
        </w:rPr>
        <w:t>3. KINERJA DAN AKSESIBILITAS SISTEM</w:t>
      </w:r>
    </w:p>
    <w:p>
      <w:pPr>
        <w:spacing w:line="276" w:lineRule="auto" w:after="120"/>
      </w:pPr>
      <w:r>
        <w:rPr>
          <w:sz w:val="21"/>
        </w:rPr>
        <w:t>Waktu loading halaman &lt; 2 detik, kepatuhan aksesibilitas bagi penyandang disabilitas (WCAG 2.1), dan dukungan push notification darurat.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