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4: KEAMANAN PEMERINTAH DIGITAL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STANDAR OPERASIONAL PROSEDUR (SOP) PENERBITAN DAN PEMANFAATAN SERTIFIKAT ELEKTRONIK (TTE)</w:t>
        <w:br/>
      </w:r>
      <w:r>
        <w:rPr>
          <w:b/>
          <w:sz w:val="22"/>
        </w:rPr>
        <w:t>SOP-BSRE-TTE/2026/018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IND-18 - Penerapan Kriptografi &amp; Tanda Tangan Elektronik (TTE) Tersertifikasi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4: Keamanan Pemerintah Digital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DASAR HUKUM DAN KERJA SAMA BSrE - BSSN</w:t>
      </w:r>
    </w:p>
    <w:p>
      <w:pPr>
        <w:spacing w:line="276" w:lineRule="auto" w:after="120"/>
      </w:pPr>
      <w:r>
        <w:rPr>
          <w:sz w:val="21"/>
        </w:rPr>
        <w:t>Pemanfaatan sertifikat elektronik resmi yang diterbitkan oleh Balai Sertifikasi Elektronik (BSrE) Badan Siber dan Sandi Negara (BSSN).</w:t>
      </w:r>
    </w:p>
    <w:p>
      <w:r>
        <w:rPr>
          <w:b/>
          <w:color w:val="1E3A8A"/>
          <w:sz w:val="22"/>
        </w:rPr>
        <w:t>2. PROSEDUR PENGAJUAN DAN VERIFIKASI IDENTITAS PEJABAT</w:t>
      </w:r>
    </w:p>
    <w:p>
      <w:pPr>
        <w:spacing w:line="276" w:lineRule="auto" w:after="120"/>
      </w:pPr>
      <w:r>
        <w:rPr>
          <w:sz w:val="21"/>
        </w:rPr>
        <w:t>Alur verifikasi NIK, email dinas resmi, perekaman passphrase aman, dan larangan menyerahkan token pengesahan kepada orang lain.</w:t>
      </w:r>
    </w:p>
    <w:p>
      <w:r>
        <w:rPr>
          <w:b/>
          <w:color w:val="1E3A8A"/>
          <w:sz w:val="22"/>
        </w:rPr>
        <w:t>3. PENERAPAN TTE PADA SELURUH NASKAH DINAS ELEKTRONIK</w:t>
      </w:r>
    </w:p>
    <w:p>
      <w:pPr>
        <w:spacing w:line="276" w:lineRule="auto" w:after="120"/>
      </w:pPr>
      <w:r>
        <w:rPr>
          <w:sz w:val="21"/>
        </w:rPr>
        <w:t>Kewajiban penandatanganan SK, Surat Perintah, Nota Dinas, dan Salinan Keputusan secara elektronik tanpa tanda tangan basah.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