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7: KEPUASAN PENGGUNA LAYANAN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LAPORAN RESMI HASIL EVALUASI SURVEI KEPUASAN MASYARAKAT ELEKTRONIK (e-SKM)</w:t>
        <w:br/>
      </w:r>
      <w:r>
        <w:rPr>
          <w:b/>
          <w:sz w:val="22"/>
        </w:rPr>
        <w:t>LAP-SKM/2026/020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IND-20 - Evaluasi Kepuasan Pengguna (e-SKM) &amp; Tindak Lanjut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7: Kepuasan Pengguna Layanan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METODOLOGI SURVEI KEPUASAN ELEKTRONIK (e-SKM)</w:t>
      </w:r>
    </w:p>
    <w:p>
      <w:pPr>
        <w:spacing w:line="276" w:lineRule="auto" w:after="120"/>
      </w:pPr>
      <w:r>
        <w:rPr>
          <w:sz w:val="21"/>
        </w:rPr>
        <w:t>Pelaksanaan survei otomatis secara pop-up setelah pengguna menyelesaikan transaksi layanan digital, mencakup 9 unsur pelayanan sesuai PermenPANRB No. 14 Tahun 2017.</w:t>
      </w:r>
    </w:p>
    <w:p>
      <w:r>
        <w:rPr>
          <w:b/>
          <w:color w:val="1E3A8A"/>
          <w:sz w:val="22"/>
        </w:rPr>
        <w:t>2. ANALISIS NILAI INDEKS KEPUASAN MASYARAKAT (IKM)</w:t>
      </w:r>
    </w:p>
    <w:p>
      <w:pPr>
        <w:spacing w:line="276" w:lineRule="auto" w:after="120"/>
      </w:pPr>
      <w:r>
        <w:rPr>
          <w:sz w:val="21"/>
        </w:rPr>
        <w:t>Kalkulasi nilai IKM berkala, perbandingan skor antar unit pelayanan, dan identifikasi unsur pelayanan dengan nilai terendah.</w:t>
      </w:r>
    </w:p>
    <w:p>
      <w:r>
        <w:rPr>
          <w:b/>
          <w:color w:val="1E3A8A"/>
          <w:sz w:val="22"/>
        </w:rPr>
        <w:t>3. RENCANA TINDAK LANJUT PERBAIKAN BERKELANJUTAN</w:t>
      </w:r>
    </w:p>
    <w:p>
      <w:pPr>
        <w:spacing w:line="276" w:lineRule="auto" w:after="120"/>
      </w:pPr>
      <w:r>
        <w:rPr>
          <w:sz w:val="21"/>
        </w:rPr>
        <w:t>Matriks aksi perbaikan sistem, komitmen waktu penyelesaian perbaikan fitur aplikasi, dan penunjukan penanggung jawab tindak lanjut.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