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1: TATA KELOLA DAN MANAJEMEN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STANDAR OPERASIONAL PROSEDUR (SOP) MANAJEMEN LAYANAN DIGITAL &amp; SERVICE DESK TERPADU</w:t>
        <w:br/>
      </w:r>
      <w:r>
        <w:rPr>
          <w:b/>
          <w:sz w:val="22"/>
        </w:rPr>
        <w:t>SOP/DISKOMINFO/2026/002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IND-02 - Manajemen Layanan Digital Pemerintah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1: Tata Kelola dan Manajemen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TUJUAN DAN RUANG LINGKUP</w:t>
      </w:r>
    </w:p>
    <w:p>
      <w:pPr>
        <w:spacing w:line="276" w:lineRule="auto" w:after="120"/>
      </w:pPr>
      <w:r>
        <w:rPr>
          <w:sz w:val="21"/>
        </w:rPr>
        <w:t>Memberikan panduan standar dalam mengelola permintaan layanan digital, penanganan gangguan (incident management), perubahan sistem (change management), dan pemenuhan Service Level Agreement (SLA).</w:t>
      </w:r>
    </w:p>
    <w:p>
      <w:r>
        <w:rPr>
          <w:b/>
          <w:color w:val="1E3A8A"/>
          <w:sz w:val="22"/>
        </w:rPr>
        <w:t>2. STRUKTUR SERVICE DESK &amp; ESKALASI</w:t>
      </w:r>
    </w:p>
    <w:p>
      <w:pPr>
        <w:spacing w:line="276" w:lineRule="auto" w:after="120"/>
      </w:pPr>
      <w:r>
        <w:rPr>
          <w:sz w:val="21"/>
        </w:rPr>
        <w:t>Level 1: Helpdesk Call/Chat/Web (First Response &lt; 15 menit), Level 2: Technical Specialist Network/App (Resolution &lt; 4 jam), Level 3: Principal Vendor / Pengembang Sistem.</w:t>
      </w:r>
    </w:p>
    <w:p>
      <w:r>
        <w:rPr>
          <w:b/>
          <w:color w:val="1E3A8A"/>
          <w:sz w:val="22"/>
        </w:rPr>
        <w:t>3. PROSEDUR MANAJEMEN PERUBAHAN SISTEM (RFC)</w:t>
      </w:r>
    </w:p>
    <w:p>
      <w:pPr>
        <w:spacing w:line="276" w:lineRule="auto" w:after="120"/>
      </w:pPr>
      <w:r>
        <w:rPr>
          <w:sz w:val="21"/>
        </w:rPr>
        <w:t>Alur pengajuan Request for Change, analisis dampak keamanan, pengujian User Acceptance Test (UAT), dan persetujuan Change Advisory Board (CAB).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