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4: KEAMANAN PEMERINTAH DIGITAL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KEBIJAKAN SISTEM MANAJEMEN KEAMANAN INFORMASI (SMKI) BERDASARKAN STANDAR ISO/IEC 27001</w:t>
        <w:br/>
      </w:r>
      <w:r>
        <w:rPr>
          <w:b/>
          <w:sz w:val="22"/>
        </w:rPr>
        <w:t>KEB-SMKI/2026/010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IND-10 - Penerapan Sistem Manajemen Keamanan Informasi (SMKI)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4: Keamanan Pemerintah Digital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PERNYATAAN KEBIJAKAN KEAMANAN INFORMASI</w:t>
      </w:r>
    </w:p>
    <w:p>
      <w:pPr>
        <w:spacing w:line="276" w:lineRule="auto" w:after="120"/>
      </w:pPr>
      <w:r>
        <w:rPr>
          <w:sz w:val="21"/>
        </w:rPr>
        <w:t>Komitmen pimpinan instansi untuk menjaga Kerahasiaan (Confidentiality), Keutuhan (Integrity), dan Ketersediaan (Availability) seluruh aset informasi pemerintah digital.</w:t>
      </w:r>
    </w:p>
    <w:p>
      <w:r>
        <w:rPr>
          <w:b/>
          <w:color w:val="1E3A8A"/>
          <w:sz w:val="22"/>
        </w:rPr>
        <w:t>2. KONTROL AKSES PENGGUNA &amp; KATA SANDI</w:t>
      </w:r>
    </w:p>
    <w:p>
      <w:pPr>
        <w:spacing w:line="276" w:lineRule="auto" w:after="120"/>
      </w:pPr>
      <w:r>
        <w:rPr>
          <w:sz w:val="21"/>
        </w:rPr>
        <w:t>Kebijakan autentikasi multi-faktor (MFA), pergantian sandi minimal 90 hari, larangan berbagi akun, dan pencabutan hak akses segera saat pegawai mutasi/berhenti.</w:t>
      </w:r>
    </w:p>
    <w:p>
      <w:r>
        <w:rPr>
          <w:b/>
          <w:color w:val="1E3A8A"/>
          <w:sz w:val="22"/>
        </w:rPr>
        <w:t>3. TANGGUNG JAWAB PERSONIL &amp; PENGGUNAAN ASET</w:t>
      </w:r>
    </w:p>
    <w:p>
      <w:pPr>
        <w:spacing w:line="276" w:lineRule="auto" w:after="120"/>
      </w:pPr>
      <w:r>
        <w:rPr>
          <w:sz w:val="21"/>
        </w:rPr>
        <w:t>Kebijakan Clear Desk &amp; Clear Screen, penggunaan VPN resmi untuk kerja remote, dan pelarangan pemasangan software tidak berlisensi.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