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5: TEKNOLOGI (APLIKASI &amp; PDN)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PEDOMAN STANDARISASI, PENGEMBANGAN &amp; RASIONALISASI APLIKASI PEMERINTAH DIGITAL</w:t>
        <w:br/>
      </w:r>
      <w:r>
        <w:rPr>
          <w:b/>
          <w:sz w:val="22"/>
        </w:rPr>
        <w:t>PED/TIK-APLIKASI/2026/013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IND-13 - Keterpaduan Aplikasi SPBE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5: Teknologi (Aplikasi &amp; PDN)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1. PRINSIP INTEGRASI DAN INTEROPERABILITAS</w:t>
      </w:r>
    </w:p>
    <w:p>
      <w:pPr>
        <w:spacing w:line="276" w:lineRule="auto" w:after="120"/>
      </w:pPr>
      <w:r>
        <w:rPr>
          <w:sz w:val="21"/>
        </w:rPr>
        <w:t>Larangan membangun aplikasi baru yang berdiri sendiri (silo application) tanpa integrasi API dan restu arsitektur dari Tim Koordinasi SPBE Daerah.</w:t>
      </w:r>
    </w:p>
    <w:p>
      <w:r>
        <w:rPr>
          <w:b/>
          <w:color w:val="1E3A8A"/>
          <w:sz w:val="22"/>
        </w:rPr>
        <w:t>2. STANDAR TEKNOLOGI &amp; KEAMANAN CODING</w:t>
      </w:r>
    </w:p>
    <w:p>
      <w:pPr>
        <w:spacing w:line="276" w:lineRule="auto" w:after="120"/>
      </w:pPr>
      <w:r>
        <w:rPr>
          <w:sz w:val="21"/>
        </w:rPr>
        <w:t>Standar framework modern (Secure Coding OWASP), penggunaan Microservices / REST API, autentikasi tersentralisasi OpenID Connect / OAuth2.</w:t>
      </w:r>
    </w:p>
    <w:p>
      <w:r>
        <w:rPr>
          <w:b/>
          <w:color w:val="1E3A8A"/>
          <w:sz w:val="22"/>
        </w:rPr>
        <w:t>3. PROGRAM RASIONALISASI &amp; KONSOLIDASI SISTEM</w:t>
      </w:r>
    </w:p>
    <w:p>
      <w:pPr>
        <w:spacing w:line="276" w:lineRule="auto" w:after="120"/>
      </w:pPr>
      <w:r>
        <w:rPr>
          <w:sz w:val="21"/>
        </w:rPr>
        <w:t>Rencana penggabungan 45 aplikasi legacy unit kerja menjadi 4 portal tematik utama berbasis super-app.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