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5: TEKNOLOGI (APLIKASI &amp; PDN)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DOKUMEN RENCANA KERJA DAN TAHAPAN MIGRASI SISTEM KE PUSAT DATA NASIONAL (PDN)</w:t>
        <w:br/>
      </w:r>
      <w:r>
        <w:rPr>
          <w:b/>
          <w:sz w:val="22"/>
        </w:rPr>
        <w:t>RENJA-MIGRASI-PDN/2026/014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IND-14 - Pusat Data Nasional (PDN) &amp; Infrastruktur Terpadu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5: Teknologi (Aplikasi &amp; PDN)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TUJUAN KONSOLIDASI INFRASTRUKTUR</w:t>
      </w:r>
    </w:p>
    <w:p>
      <w:pPr>
        <w:spacing w:line="276" w:lineRule="auto" w:after="120"/>
      </w:pPr>
      <w:r>
        <w:rPr>
          <w:sz w:val="21"/>
        </w:rPr>
        <w:t>Menghentikan pengadaan server fisik mandiri di masing-masing OPD dan memusatkan komputasi awan ke Pusat Data Nasional (PDN) Kementerian Kominfo.</w:t>
      </w:r>
    </w:p>
    <w:p>
      <w:r>
        <w:rPr>
          <w:b/>
          <w:color w:val="1E3A8A"/>
          <w:sz w:val="22"/>
        </w:rPr>
        <w:t>2. MATRIKS INVENTARISASI KEBUTUHAN VM DAN STORAGE</w:t>
      </w:r>
    </w:p>
    <w:p>
      <w:pPr>
        <w:spacing w:line="276" w:lineRule="auto" w:after="120"/>
      </w:pPr>
      <w:r>
        <w:rPr>
          <w:sz w:val="21"/>
        </w:rPr>
        <w:t>Spesifikasi Virtual Core, RAM, Storage SSD NVMe, dan bandwidth jaringan intra pemerintah yang diajukan ke pengelola PDN.</w:t>
      </w:r>
    </w:p>
    <w:p>
      <w:r>
        <w:rPr>
          <w:b/>
          <w:color w:val="1E3A8A"/>
          <w:sz w:val="22"/>
        </w:rPr>
        <w:t>3. RENCANA CADANGAN &amp; PEMULIHAN BENCANA (DRC)</w:t>
      </w:r>
    </w:p>
    <w:p>
      <w:pPr>
        <w:spacing w:line="276" w:lineRule="auto" w:after="120"/>
      </w:pPr>
      <w:r>
        <w:rPr>
          <w:sz w:val="21"/>
        </w:rPr>
        <w:t>Strategi replikasi data ke Disaster Recovery Center (DRC) dan prosedur failover jika terjadi gangguan jaringan utama.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