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Reconstruction expérimentale 6G : compression sémantique par Transformer et allocation MADDPG sur 8iVFB — Rapport de résultats mesurés</w:t>
      </w:r>
    </w:p>
    <w:p>
      <w:r>
        <w:t>Projet C:\paper_6g — 11 octobre 2026 — Code d'origine perdu : toutes les valeurs ci-dessous proviennent d'exécutions tracées (CSV/JSON du dossier results/). Aucun résultat historique n'est repris sans preuve.</w:t>
      </w:r>
    </w:p>
    <w:p>
      <w:r>
        <w:t>Statut global : PARTIELLEMENT VALIDÉ — base de reconstruction transparente, article NON prêt à resoumettre (GPU, 1200 frames et testbed requis).</w:t>
      </w:r>
    </w:p>
    <w:p>
      <w:r>
        <w:rPr>
          <w:b/>
        </w:rPr>
        <w:t xml:space="preserve">Sommaire (clic droit → Mettre à jour les champs dans Word) : </w:t>
      </w:r>
    </w:p>
    <w:p>
      <w:r>
        <w:fldChar w:fldCharType="begin"/>
        <w:instrText xml:space="preserve">TOC \o "1-2" \h \z \u</w:instrText>
        <w:fldChar w:fldCharType="end"/>
      </w:r>
    </w:p>
    <w:p>
      <w:pPr>
        <w:pStyle w:val="Heading1"/>
      </w:pPr>
      <w:r>
        <w:t>1. Audit du dataset 8iVFB v2 (Phase A)</w:t>
      </w:r>
    </w:p>
    <w:p>
      <w:r>
        <w:t>Source officielle : https://plenodb.jpeg.org/pc/8ilabs (HTTP 200). Archive 8iVFBv2.7z : 5 943 803 179 o. Quatre ZIP vérifiés par requêtes HEAD et inspection distante (EOCD + central directory, HTTP 206) : longdress 1 635 191 404 o, loot 1 201 242 833 o, redandblack 1 241 096 174 o, soldier 1 748 391 289 o. Chaque ZIP : 609 entrées dont 300 PLY, 300 PNG, Counts.txt. Licence 8i : recherche non commerciale, redistribution interdite, citation d'Eon et al. 2017. PLY ascii 1.0 (x,y,z:float + R,G,B:uchar), 0 valeur non finie sur 12 échantillons mesurés par HTTP Range.</w:t>
      </w:r>
    </w:p>
    <w:p>
      <w:r>
        <w:rPr>
          <w:b/>
          <w:sz w:val="20"/>
        </w:rPr>
        <w:t>Tableau 1 — Statistiques complètes des 1200 frames (métadonnées fournisseur Counts.txt, vérifiées : en-tête PLY = Counts.txt sur 12/12 échantillons).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7"/>
              </w:rPr>
              <w:t>Séquence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Frames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Min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Q1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Médiane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Q3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Max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Moyenne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Écart-type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longdress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1051–1350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733 580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808 075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835 104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858 669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916 250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834 315,3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37 083,4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loot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1000–1299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770 822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782 886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789 877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804 382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835 458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793 821,3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13 361,8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redandblack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1450–1749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640 070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698 617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732 487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757 394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816 879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727 070,8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39 850,4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soldier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536–835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1 044 513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1 061 120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1 083 210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1 089 853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1 103 974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1 075 299,0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16 493,9</w:t>
            </w:r>
          </w:p>
        </w:tc>
      </w:tr>
    </w:tbl>
    <w:p/>
    <w:p>
      <w:pPr>
        <w:pStyle w:val="IntenseQuote"/>
      </w:pPr>
      <w:r>
        <w:t>Contradiction confirmée : redandblack descend à 640 070 points (&lt; borne basse 724 000 du manuscrit) ; frames consécutives sans lacune ni doublon ; la numérotation ne commence pas à zéro.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int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1 — Points par frame, 1200 frames 8iVFB (bande : plage 724 000–1,1 M du manuscrit). Source : counts_full.csv.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1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uence_stati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2 — Comparaison des séquences (moyenne, min–max, n=300). Source : counts_full.csv.</w:t>
      </w:r>
    </w:p>
    <w:p>
      <w:pPr>
        <w:pStyle w:val="Heading1"/>
      </w:pPr>
      <w:r>
        <w:t>2. Protocole expérimental sans fuite (Phase B)</w:t>
      </w:r>
    </w:p>
    <w:p>
      <w:r>
        <w:t>Sous-échantillon uniforme Ns=2 048 (seed 42), coords/1023, RGB/255. Split par blocs temporels + séquence soldier tenue à l'écart (généralisation inter-séquence). Test final jamais utilisé pour les hyperparamètres. Graines : 42, 123, 2026.</w:t>
      </w:r>
    </w:p>
    <w:p>
      <w:r>
        <w:rPr>
          <w:b/>
          <w:sz w:val="20"/>
        </w:rPr>
        <w:t>Tableau 2 — Répartition des 12 frames pilotes (results/data_split_manifest.csv).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Frame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Séquence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Rôle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loot_1000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loot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apprentissage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loot_1150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loot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apprentissage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loot_1299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loot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1299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val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sélection hyperparamètres (frames futures)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longdress_1051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longdress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1051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apprentissage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longdress_1201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longdress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1201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apprentissage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longdress_1350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longdress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val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sélection hyperparamètres (frames futures)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redandblack_1450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redandblack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apprentissage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redandblack_1600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redandblack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apprentissage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redandblack_1749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redandblack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1749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val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sélection hyperparamètres (frames futures)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soldier_536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soldier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test final (séquence soldier tenue à l'écart)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soldier_686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soldier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686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test final (séquence soldier tenue à l'écart)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soldier_835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soldier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test final (séquence soldier tenue à l'écart)</w:t>
            </w:r>
          </w:p>
        </w:tc>
      </w:tr>
    </w:tbl>
    <w:p/>
    <w:p>
      <w:pPr>
        <w:pStyle w:val="Heading1"/>
      </w:pPr>
      <w:r>
        <w:t>3. Compression sémantique mesurée (Phase C)</w:t>
      </w:r>
    </w:p>
    <w:p>
      <w:r>
        <w:t>Encodeur réduit CPU : scoring MHA numpy (1 couche, 4 têtes, d=64, poids fixes) + autoencodeur MLP 6→64→16→64→6 entraîné sur 12 288 points (loss 4,9e-4). Flux = latent float16 + en-tête JSON, taille MESURÉE. D1-PSNR = 10·log10(3·1023²/MSE_D1). Méthodes : proposed (sélection + AE), attn-select (sélection + exact), uniform (aléatoire + exact), raw.</w:t>
      </w:r>
    </w:p>
    <w:p>
      <w:r>
        <w:rPr>
          <w:b/>
          <w:sz w:val="20"/>
        </w:rPr>
        <w:t>Tableau 3 — Mesures à α cible = 0,05 par séquence (moyenne de 3 frames ; compression_by_sequence.csv).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Séquence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α mesuré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Flux (o)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D1-PSNR (dB)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Enc (ms)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longdress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82,9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longdress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0,068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3 321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46,5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longdress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82,5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loot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87,8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loot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0,068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3 321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49,6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loot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82,1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redandblack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81,2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redandblack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0,068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3 321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48,0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redandblack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81,5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soldier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82,7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soldier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0,068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3 321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soldier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1 280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81,8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0,2</w:t>
            </w:r>
          </w:p>
        </w:tc>
      </w:tr>
    </w:tbl>
    <w:p/>
    <w:p>
      <w:r>
        <w:rPr>
          <w:b/>
          <w:sz w:val="20"/>
        </w:rPr>
        <w:t>Tableau 4 — Courbe taux–distorsion moyenne sur 12 frames (compression_metrics.csv).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α cible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α mesuré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D1-PSNR moyen (dB)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83,9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83,6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0,051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83,3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0,101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83,2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attn-select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0,251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82,6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0,028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47,4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0,068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47,9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0,135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48,1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0,268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48,3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0,668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48,4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raw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1,000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120,0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82,2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82,0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0,051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82,1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0,101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81,9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uniform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0,251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82,0</w:t>
            </w:r>
          </w:p>
        </w:tc>
      </w:tr>
    </w:tbl>
    <w:p/>
    <w:p>
      <w:pPr>
        <w:pStyle w:val="IntenseQuote"/>
      </w:pPr>
      <w:r>
        <w:t>Résultats négatifs publiés : le goulot AE dégrade (47,9 dB &lt; 82 dB) ; le scoring attention n'apporte rien à cette échelle (attn-select ≈ uniform) ; courbe plate, aucun seuil α*=0,10. D1-PSNR historique 67,8 dB : retiré.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te_distor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3 — Taux–distorsion mesuré (Ns=2048, n=12 frames). Source : compression_metrics.csv.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ression_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4 — Temps d'encodage/décodage mesurés (mur, CPU). Source : compression_metrics.csv.</w:t>
      </w:r>
    </w:p>
    <w:p>
      <w:pPr>
        <w:pStyle w:val="Heading1"/>
      </w:pPr>
      <w:r>
        <w:t>4. MADDPG et allocation radio (Phase D)</w:t>
      </w:r>
    </w:p>
    <w:p>
      <w:r>
        <w:t>Canal 28 GHz (η=2,8 ; PL0=61,4 dB ; σ=8,2 dB), Rayleigh re-tiré par pas, B_total = 1 GHz (corrigé), Pmax = 2 W, N0 = −174 dBm/Hz (hypothèse), 4 utilisateurs (60/90/110/120 m), file dynamique d'arriéré, λ=30 trames/s, Dmax=50 ms. MADDPG numpy : acteurs 5→32→32→3, critique centralisé, γ=0,95, τ=0,01, buffer 20 000, batch 128, bruit 0,3→0,01, 60 ép.×50 pas×3 graines.</w:t>
      </w:r>
    </w:p>
    <w:p>
      <w:r>
        <w:rPr>
          <w:b/>
          <w:sz w:val="20"/>
        </w:rPr>
        <w:t>Tableau 5 — Taxonomie des 6 méthodes exécutées (une définition unique partout).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Allocation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Puissance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maddpg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 acteurs + critique centralisé (CTDE)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apprise [0,1–2] 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single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MÊME code, acteur unique partagé (ablation)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apprise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fixed1 (type QoS-Only)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parts égales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 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1,0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fixed05 (type DL-Only)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parts égales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 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aléatoire admissible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aléatoire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aléatoire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heuristic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parts ∝ 1/d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 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0,05</w:t>
            </w:r>
          </w:p>
        </w:tc>
      </w:tr>
    </w:tbl>
    <w:p/>
    <w:p>
      <w:r>
        <w:rPr>
          <w:b/>
          <w:sz w:val="20"/>
        </w:rPr>
        <w:t>Tableau 6 — Résultats radio (moyenne ± écart-type sur 3 graines, 10 derniers épisodes ; radio_metrics_by_seed.csv). Latences/énergies en moyenne honnête (système congestionné).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Méthode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QoE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Lat (ms)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SE (b/s/Hz)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Énergie (mJ)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Viol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α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P̄ (W)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0,727 ± 0,004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281 ± 40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1,92 ± 0,03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287 ± 40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0,30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0,05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maddpg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0,568 ± 0,014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6 341 ± 6 319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1,71 ± 0,18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2 852 ± 1 896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0,89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0,27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0,88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single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0,569 ± 0,049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1 974 ± 928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1,99 ± 0,31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1 877 ± 1 230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0,87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0,27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1,27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0,556 ± 0,002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3 437 ± 1 057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2,31 ± 0,07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1 961 ± 1 419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0,26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1,05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0,517 ± 0,001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2 541 ± 476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2,44 ± 0,01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2 832 ± 886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0,99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0,50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0,512 ± 0,000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10 029 ± 4 836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2,43 ± 0,05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13 824 ± 9 602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2,00</w:t>
            </w:r>
          </w:p>
        </w:tc>
      </w:tr>
    </w:tbl>
    <w:p/>
    <w:p>
      <w:pPr>
        <w:pStyle w:val="IntenseQuote"/>
      </w:pPr>
      <w:r>
        <w:t>Lecture : heuristic 0,727 &gt; maddpg 0,568 ≈ single 0,569 ; QoE 0,968 et 10,35 ms historiques non reproduits (retirés) ; plateau dès ~ép. 10–20.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0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ward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5 — Convergence : récompense et QoE (moyenne 3 graines). Source : maddpg_training_log.csv (1 080 épisodes).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3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oughput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6 — Efficacité spectrale vs latence par méthode. Source : radio_metrics_by_seed.csv.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3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ctral_effici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7 — Efficacité spectrale par méthode (±écart-type, 3 graines).</w:t>
      </w:r>
    </w:p>
    <w:p>
      <w:pPr>
        <w:pStyle w:val="Heading1"/>
      </w:pPr>
      <w:r>
        <w:t>5. Couplage bout-en-bout (Phase E)</w:t>
      </w:r>
    </w:p>
    <w:p>
      <w:r>
        <w:t>Chaîne : frame pilote → sélection MHA → flux float16 mesuré (mis à l'échelle pleine-frame par règle de trois à α) → allocation simulée → Ttx=B/R → D1-PSNR mesuré. En-têtes inclus ; poids supposés partagés hors-ligne.</w:t>
      </w:r>
    </w:p>
    <w:p>
      <w:r>
        <w:rPr>
          <w:b/>
          <w:sz w:val="20"/>
        </w:rPr>
        <w:t>Tableau 7 — Décomposition de la latence D=Denc+Dtx+Dq+Ddec en ms (latency_breakdown.csv).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Denc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Dtx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Dq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Ddec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fixed05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1 390,3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1 149,8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2 541,3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fixed1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6 886,3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3 142,0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10 029,4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heuristic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271,1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9,6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281,3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maddpg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5 209,3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1 130,7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6 340,9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random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2 526,5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909,6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3 436,9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single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1 371,2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602,1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0,3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1 974,2</w:t>
            </w:r>
          </w:p>
        </w:tc>
      </w:tr>
    </w:tbl>
    <w:p/>
    <w:p>
      <w:r>
        <w:rPr>
          <w:b/>
          <w:sz w:val="20"/>
        </w:rPr>
        <w:t>Tableau 8 — Décomposition de l'énergie E=P·T en mJ (energy_breakdown.csv).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E transmission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E calcul (65 W)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fixed05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2 780,6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51,5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2 832,1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fixed1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13 772,5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51,5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13 824,0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heuristic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271,1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15,5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286,6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maddpg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2 814,9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37,4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2 852,3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1 929,6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31,5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1 961,1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single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1 844,1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32,7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1 876,8</w:t>
            </w:r>
          </w:p>
        </w:tc>
      </w:tr>
    </w:tbl>
    <w:p/>
    <w:p>
      <w:r>
        <w:rPr>
          <w:b/>
          <w:sz w:val="20"/>
        </w:rPr>
        <w:t>Tableau 9 — Métriques bout-en-bout par méthode (end_to_end_metrics.csv).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Lat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Énergie (mJ)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Viol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Dmax OK 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fixed05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0,517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2 541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2 832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2,44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0,99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fixed1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0,512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10 029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13 824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2,43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1,00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heuristic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0,727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281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1,92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maddpg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0,568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6 341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2 852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1,71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0,89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random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0,556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3 437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1 961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2,31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0,95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single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0,569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1 974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1 877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1,99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0,87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</w:tr>
    </w:tbl>
    <w:p/>
    <w:p>
      <w:pPr>
        <w:pStyle w:val="IntenseQuote"/>
      </w:pPr>
      <w:r>
        <w:t>Contrôle physique : 17,5 Gbit / 250 Mbps = 70 s = 70 000 ms (et non 3,5 ms) ; à α=0,05, pleine frame loot ≈ 3,8 Mbit → ~15 ms à 250 Mbps.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3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break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8 — Décomposition de la latence (Denc+Dtx+Dq+Ddec).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3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ergy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9 — Décomposition de l'énergie (transmission vs calcul).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46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d_to_end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10 — Comparaison bout-en-bout : QoE, latence, SE, énergie.</w:t>
      </w:r>
    </w:p>
    <w:p>
      <w:pPr>
        <w:pStyle w:val="Heading1"/>
      </w:pPr>
      <w:r>
        <w:t>6. QoE redéfinie et validée (Phase F)</w:t>
      </w:r>
    </w:p>
    <w:p>
      <w:r>
        <w:t>Défaut prouvé : 0,6·Q−0,25·D−0,15·E ∈ [−0,4 ; 0,6], pas [0,1]. Correction : QoE = écrêt((0,6·Qnorm−0,25·Dnorm−0,15·Enorm+0,4)) ∈ [0,1] ; Qnorm=(D1-PSNR−40)/50, Dnorm=min(D/50,1), Enorm=min(E/100,1), 100 mJ = Pmax·Dmax. Indicateur composite technique (pas d'étude utilisateur).</w:t>
      </w:r>
    </w:p>
    <w:p>
      <w:r>
        <w:rPr>
          <w:b/>
          <w:sz w:val="20"/>
        </w:rPr>
        <w:t>Tableau 10 — Sensibilité aux poids : QoE recalculée (qoe_sensitivity.csv ; classement stable).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w1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heuristic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maddpg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single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random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fixed05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fixed1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0,4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0,285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0,178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0,179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0,170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0,144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0,141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0,5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0,506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0,373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0,374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0,363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0,331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0,327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0,6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0,727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0,568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0,569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0,556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0,517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0,7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0,948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0,762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0,764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0,748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0,703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0,697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0,8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1,000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0,957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0,950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0,941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0,889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0,883</w:t>
            </w:r>
          </w:p>
        </w:tc>
      </w:tr>
    </w:tbl>
    <w:p/>
    <w:p>
      <w:pPr>
        <w:pStyle w:val="IntenseQuote"/>
      </w:pPr>
      <w:r>
        <w:t>QoE maximale observée ≈ 0,73 : la valeur 0,968 est retirée.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06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oe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11 — QoE par méthode et sensibilité au poids perceptif w1.</w:t>
      </w:r>
    </w:p>
    <w:p>
      <w:pPr>
        <w:pStyle w:val="Heading1"/>
      </w:pPr>
      <w:r>
        <w:t>7. Statistiques et robustesse (Phase G)</w:t>
      </w:r>
    </w:p>
    <w:p>
      <w:r>
        <w:t>n=3 graines ; moyennes, écarts-types, médianes, IC-t indicatifs (aucune supériorité revendiquée ; frames corrélées jamais comptées comme répétitions indépendantes).</w:t>
      </w:r>
    </w:p>
    <w:p>
      <w:r>
        <w:rPr>
          <w:b/>
          <w:sz w:val="20"/>
        </w:rPr>
        <w:t>Tableau 11 — Résumé statistique (statistical_summary.csv, extrait QoE/latence).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Méthode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Métrique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Moyenne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Écart-type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Médiane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IC95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0,517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0,001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0,517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[0,5 ; 0,5]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lat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2 541,299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475,544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2 363,310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[1 360,0 ; 3 722,6]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0,000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[0,5 ; 0,5]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lat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10 029,389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4 836,148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9 786,549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[-1 984,3 ; 22 043,0]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0,727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0,004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0,726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[0,7 ; 0,7]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lat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281,266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40,324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258,528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[181,1 ; 381,4]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maddpg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0,568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0,014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0,571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[0,5 ; 0,6]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maddpg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lat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6 340,892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6 319,127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3 698,377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[-9 356,7 ; 22 038,5]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0,556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0,002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0,555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[0,6 ; 0,6]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lat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3 436,864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1 056,711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3 059,328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[811,8 ; 6 061,9]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single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qoe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0,569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0,049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0,566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[0,4 ; 0,7]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single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lat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1 974,212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927,652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2 030,812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[-330,2 ; 4 278,6]</w:t>
            </w:r>
          </w:p>
        </w:tc>
      </w:tr>
    </w:tbl>
    <w:p/>
    <w:p>
      <w:r>
        <w:rPr>
          <w:b/>
          <w:sz w:val="20"/>
        </w:rPr>
        <w:t>Tableau 12 — Robustesse : QoE par condition, méthodes figées, graine 42 (robustness_results.csv, 28 lignes).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Méthode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QoE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Lat (ms)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Viol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B=0.5GHz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0,702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B=0.5GHz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8 372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B=0.5GHz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3 838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B=0.5GHz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0,544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4 911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B=1.0GHz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0,728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B=1.0GHz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5 256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B=1.0GHz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2 380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B=1.0GHz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0,555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2 585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B=2.0GHz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0,741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237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B=2.0GHz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4 995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B=2.0GHz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0,535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1 740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B=2.0GHz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0,568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5 400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lam=10.0fps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0,742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lam=10.0fps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9 562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lam=10.0fps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0,529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1 606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lam=10.0fps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0,570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3 052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lam=30.0fps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0,725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lam=30.0fps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5 078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lam=30.0fps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2 171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lam=30.0fps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0,556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2 482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x0.7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0,785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x0.7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2 677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x0.7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1 139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x0.7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0,579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1 252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x1.3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heuristic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0,680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0,47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x1.3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8 697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x1.3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fixed05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4 415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 x1.3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0,545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12 301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0,97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08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bustness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12 — Robustesse : QoE par condition (B, λ, distances ; 20 épisodes).</w:t>
      </w:r>
    </w:p>
    <w:p>
      <w:pPr>
        <w:pStyle w:val="Heading1"/>
      </w:pPr>
      <w:r>
        <w:t>8. Corrections apportées au manuscrit (Phase J)</w:t>
      </w:r>
    </w:p>
    <w:p>
      <w:r>
        <w:t>27 valeurs comparées ; tout le tableau : manuscript/old_vs_new_values.csv. Extraits majeurs ci-dessous.</w:t>
      </w:r>
    </w:p>
    <w:p>
      <w:r>
        <w:rPr>
          <w:b/>
          <w:sz w:val="20"/>
        </w:rPr>
        <w:t>Tableau 13 — Ancien → nouveau (extraits ; tableau complet : old_vs_new_values.csv).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Affirmation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Ancien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Nouveau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Statut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QoE propose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0.968 [0.961-0.975] sans unite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0.727 (heuristic) / 0.568 (maddpg) sans unite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(historique retire)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Latence propose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10.35 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281 (heuristic) / 6341 (maddpg) 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Dtx a 250 Mbps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3.5 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70000 (17.5 Gbit) ; 15 (charge mesuree) 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(ER8)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B_total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 Gbps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 GHz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(ER8)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Energie propose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20.58 mJ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287 (heuristic) / 2852 (maddpg) mJ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(ER15)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D1-PSNR encodeur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67.8 dB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83.6 (attn-select) / 47.9 (AE) dB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(echelle pilote)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Points redandblack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724 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727071 (min 640070) points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(contradiction)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Doppler 10 km/h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0.78 kHz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0.259 kHz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CORRIGE (ER19)</w:t>
            </w:r>
          </w:p>
        </w:tc>
      </w:tr>
    </w:tbl>
    <w:p/>
    <w:p>
      <w:pPr>
        <w:pStyle w:val="Heading1"/>
      </w:pPr>
      <w:r>
        <w:t>9. Réponse aux reviewers ER1–ER19 (Phase K)</w:t>
      </w:r>
    </w:p>
    <w:p>
      <w:r>
        <w:rPr>
          <w:b/>
          <w:sz w:val="20"/>
        </w:rPr>
        <w:t>Tableau 14 — Statut par commentaire (réponse complète : response_to_reviewers.md) : 17 RÉSOLUS, 2 PARTIELS (ER12 n=3, ER16 t-SNE assumé manquant).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5"/>
              </w:rPr>
              <w:t>Statut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5"/>
              </w:rPr>
              <w:t>Preuve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5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manuscript/updated_manuscript.md + old_vs_new_values.csv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fourchette supprimee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ER2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scripts/run_phaseD.py + figures/fig_reward_convergence.png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taxonomie 6 methodes executees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ER3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reports/02_DATASET_AUDIT.md + results/counts_full.csv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Table IV corrigee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ER4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results/statistical_summary.csv + reports/07_STATISTICAL_ANALYSIS.md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stats historiques retirees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ER5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reports/03_TRANSFORMER_RESULTS.md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courbe AE mesuree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ER6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figures/fig_reward_convergence.png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plateau mesure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ER7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figures/fig_rate_distortion.png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seuil abandonne + preuve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ER8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tests/test_end_to_end.py + results/energy_breakdown.csv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70 s demontre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ER9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figures/fig_throughput_latency.png + fig_spectral_efficiency.png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SE recalculee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ER10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maddpg_training_log.csv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figure temporelle regeneree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figures/fig_energy_comparison.png + results/energy_breakdown.csv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E=P*T defini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ER12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PARTIEL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statistical_summary.csv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n=3 insuffisant pour IQR robustes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ER13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figures (descriptions corrigees)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axes + sigma recalcules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ER14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qoe_results.csv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pourcentages recalcules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ER15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reports/05_END_TO_END_RESULTS.md + src/metrics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 defini + decompose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ER16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PARTIEL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— (figure non produite)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t-SNE manquant assume plutot que fabrique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ER17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manuscript/updated_manuscript.md (references)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% retires ref conservee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ER18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manuscript/updated_manuscript.md (references)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% retires [22] confirme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ER19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RESOLU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tests/test_radio_environment.py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259 Hz teste</w:t>
            </w:r>
          </w:p>
        </w:tc>
      </w:tr>
    </w:tbl>
    <w:p/>
    <w:p>
      <w:pPr>
        <w:pStyle w:val="Heading1"/>
      </w:pPr>
      <w:r>
        <w:t>10. Limites et verdict</w:t>
      </w:r>
    </w:p>
    <w:p>
      <w:pPr>
        <w:pStyle w:val="IntenseQuote"/>
      </w:pPr>
      <w:r>
        <w:t>Échelle pilote (Ns=2048, n=3/séquence, 3 graines) ; payload pleine-frame estimé par règle de trois ; Rayleigh i.i.d. sans blockage ni mobilité ; Denc non extrapolé ; poids QoE non optimisés ; t-SNE manquant ; sans GPU/torch. Références [22]/[23]/[26] vérifiées (DOI/actes) ; pourcentages issus de [7]/[9]/[11] retirés.</w:t>
      </w:r>
    </w:p>
    <w:p>
      <w:pPr>
        <w:pStyle w:val="IntenseQuote"/>
      </w:pPr>
      <w:r>
        <w:t>VERDICT : PARTIELLEMENT VALIDÉ — reconstruction transparente et reproductible (24/24 tests, 12 figures traçables), article NON prêt à resoumettre (GPU, 1200 frames, Transformer complet, testbed requis).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