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Весенний семестр (2)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</w:rPr>
      </w:pPr>
      <w:sdt>
        <w:sdtPr>
          <w:id w:val="-964842587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Проектное задание №2</w:t>
          </w:r>
        </w:sdtContent>
      </w:sdt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Анализ и разметка гиперспектрального снимка</w:t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Ознакомьтесь с демонстрационной версией блокнота и прилагаемым набором данных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Подготовьте программу для обучения модели-классификатора. Выбор модели выбирается — это остаток деления вашего ИСУ на 4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0) Градиентный бустинг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1) Логическая регрессия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2) Алгоритм случайного леса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3) Метод опорных векторов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Выберите не менее 3-х гиперпараметров модели, настройка которых вносит основной вклад в метрики качества классификации (ориентируйтесь на F-score)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Обучите и протестируйте модель-классификатор с настройкой выбранных гиперпараметров при помощи библиотеки Optuna; зафиксируйте результаты (метрики и приближение к оптимальным параметрам)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Повторите п.3 при изменении доли данных, использованных для обучения модели в пределах от 0.1 до 0.9 с шагом 0.1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Установите связь качества распознавания классов на снимке и объема обучающих данных, проиллюстрируйте ее.</w:t>
      </w:r>
    </w:p>
    <w:p w:rsidR="00000000" w:rsidDel="00000000" w:rsidP="00000000" w:rsidRDefault="00000000" w:rsidRPr="00000000" w14:paraId="00000011">
      <w:pPr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Модифицируйте программу из демонстрационной версии блокнота, реализующего разметку снимка при помощи модели глубокого обучения (измените конструктор сети на одномерную 1D, обратите внимание на предобработку данных)</w:t>
      </w:r>
    </w:p>
    <w:p w:rsidR="00000000" w:rsidDel="00000000" w:rsidP="00000000" w:rsidRDefault="00000000" w:rsidRPr="00000000" w14:paraId="00000012">
      <w:pPr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Указание: при анализе изображения допускается использовать отображение признаков в пространство главных компонент</w:t>
      </w:r>
    </w:p>
    <w:p w:rsidR="00000000" w:rsidDel="00000000" w:rsidP="00000000" w:rsidRDefault="00000000" w:rsidRPr="00000000" w14:paraId="00000014">
      <w:pPr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8*. Найдите объем обучающих данных, необходимый для подготовки модели глубокого обучения с качеством разметки не хуже, чем для 2D модели в демонстрационном блокноте. Оцените «выигрыш» по числу обучаемых параметров модели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ousin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ousine-regular.ttf"/><Relationship Id="rId4" Type="http://schemas.openxmlformats.org/officeDocument/2006/relationships/font" Target="fonts/Cousine-bold.ttf"/><Relationship Id="rId5" Type="http://schemas.openxmlformats.org/officeDocument/2006/relationships/font" Target="fonts/Cousine-italic.ttf"/><Relationship Id="rId6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3QNkASRcdpwDpT9tyTfAtDBuw==">CgMxLjAaIQoBMBIcChoIB0IWCgtDb3VyaWVyIE5ldxIHQ291c2luZTgAciExR0NxcDNmaXBoOERXWkE5MGMybWh3QXNxRXRnbS1lZG0=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