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D06A1">
      <w:pPr>
        <w:jc w:val="center"/>
        <w:rPr>
          <w:rFonts w:hint="eastAsia" w:ascii="思源黑体 CN Normal" w:hAnsi="思源黑体 CN Normal" w:eastAsia="思源黑体 CN Normal" w:cs="思源黑体 CN Normal"/>
          <w:sz w:val="44"/>
          <w:szCs w:val="44"/>
          <w:lang w:val="en-US" w:eastAsia="zh-CN"/>
        </w:rPr>
      </w:pPr>
      <w:r>
        <w:rPr>
          <w:rFonts w:hint="default" w:ascii="思源黑体 CN Normal" w:hAnsi="思源黑体 CN Normal" w:eastAsia="思源黑体 CN Normal" w:cs="思源黑体 CN Normal"/>
          <w:sz w:val="44"/>
          <w:szCs w:val="44"/>
          <w:lang w:val="en-US" w:eastAsia="zh-CN"/>
        </w:rPr>
        <w:t>DoDoShark</w:t>
      </w:r>
      <w:r>
        <w:rPr>
          <w:rFonts w:hint="eastAsia" w:ascii="思源黑体 CN Normal" w:hAnsi="思源黑体 CN Normal" w:eastAsia="思源黑体 CN Normal" w:cs="思源黑体 CN Normal"/>
          <w:sz w:val="44"/>
          <w:szCs w:val="44"/>
          <w:lang w:val="en-US" w:eastAsia="zh-CN"/>
        </w:rPr>
        <w:t xml:space="preserve"> Powder’s High-Efficiency Blending Solutions</w:t>
      </w:r>
    </w:p>
    <w:p w14:paraId="06B68478">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Abstract</w:t>
      </w:r>
    </w:p>
    <w:p w14:paraId="5828DDD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[Powder Diagram]</w:t>
      </w:r>
    </w:p>
    <w:p w14:paraId="0F6C5AE4">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This solution provides a systematic, high-efficiency, uniform and dust-free solution for the mixing of powders, granules and solid-liquid mixtures.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leverages its three main machine types—the double-cone drum mixer, the drum agitator and the double-screw ribbon mixer—to cover all mixing requirements, from small-batch laboratory applications to large-scale industrial production.The solution achieves a mixing uniformity (CV) of &lt;5%, reduces mixing time by 30%–50%, and lowers energy consumption by 20%–40%, making it widely applicable in the food, pharmaceutical, chemical, and feed industries. Through modular design and customised configurations, it helps clients improve product consistency, reduce operational costs, and achieve clean production.</w:t>
      </w:r>
    </w:p>
    <w:p w14:paraId="464F36CC">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35462150">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p>
    <w:p w14:paraId="06F1C8AC">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DoDoShark</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 High-</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E</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fficiency </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P</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owder </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M</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ixing </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S</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olution </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D</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elivers:</w:t>
      </w:r>
    </w:p>
    <w:p w14:paraId="3DD86F4A">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4B51232">
        <w:trPr>
          <w:trHeight w:val="90" w:hRule="atLeast"/>
        </w:trPr>
        <w:tc>
          <w:tcPr>
            <w:tcW w:w="4261" w:type="dxa"/>
          </w:tcPr>
          <w:p w14:paraId="24A74E6A">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77508AF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High Efficiency and Energy Saving</w:t>
            </w:r>
          </w:p>
          <w:p w14:paraId="4EC0163D">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Mixing time reduced by 30%–50%</w:t>
            </w:r>
          </w:p>
          <w:p w14:paraId="035651C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Electricity consumption per tonne reduced by 20%–40%</w:t>
            </w:r>
          </w:p>
        </w:tc>
        <w:tc>
          <w:tcPr>
            <w:tcW w:w="4261" w:type="dxa"/>
          </w:tcPr>
          <w:p w14:paraId="63333D0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73F1E786">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 Dust-free Sealing</w:t>
            </w:r>
          </w:p>
          <w:p w14:paraId="38B8CB33">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Fully enclosed structure throughout the process, with zero dust leakage</w:t>
            </w:r>
          </w:p>
          <w:p w14:paraId="2A6C89D3">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Raw material recovery rate of 99.5%</w:t>
            </w:r>
          </w:p>
        </w:tc>
      </w:tr>
      <w:tr w14:paraId="5A1B0D2B">
        <w:tc>
          <w:tcPr>
            <w:tcW w:w="4261" w:type="dxa"/>
          </w:tcPr>
          <w:p w14:paraId="2A14EEF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1CE6FA22">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 Leading </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U</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niformity</w:t>
            </w:r>
          </w:p>
          <w:p w14:paraId="6F37BD3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CV &lt; 5%</w:t>
            </w:r>
          </w:p>
          <w:p w14:paraId="12D2AED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Uniform dispersion of trace components at a 1:10,000 ratio</w:t>
            </w:r>
          </w:p>
        </w:tc>
        <w:tc>
          <w:tcPr>
            <w:tcW w:w="4261" w:type="dxa"/>
          </w:tcPr>
          <w:p w14:paraId="7DF075B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093B896C">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 Dead-</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S</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pace-</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F</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ree </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D</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esign</w:t>
            </w:r>
          </w:p>
          <w:p w14:paraId="40E0BBA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Complete discharge with minimal residue</w:t>
            </w:r>
          </w:p>
          <w:p w14:paraId="4647706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Easy to clean when changing product types, eliminating cross-contamination</w:t>
            </w:r>
          </w:p>
          <w:p w14:paraId="049E2B1E">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r w14:paraId="422C161C">
        <w:tc>
          <w:tcPr>
            <w:tcW w:w="4261" w:type="dxa"/>
          </w:tcPr>
          <w:p w14:paraId="432ABE4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6814EC06">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 High </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A</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daptability</w:t>
            </w:r>
          </w:p>
          <w:p w14:paraId="4161E5E3">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Capable of mixing powder-powder, powder-liquid and granule-granule</w:t>
            </w:r>
          </w:p>
          <w:p w14:paraId="69417FF2">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Optional heating, drying and spray-drying functions</w:t>
            </w:r>
          </w:p>
          <w:p w14:paraId="5713F7AF">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19BEECC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7A3B2A5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 xml:space="preserve"> Intelligent </w:t>
            </w:r>
            <w:r>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C</w:t>
            </w:r>
            <w:r>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t>ontrol</w:t>
            </w:r>
          </w:p>
          <w:p w14:paraId="03CD96A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Can be fitted with a PLC touchscreen and variable-frequency speed control</w:t>
            </w:r>
          </w:p>
          <w:p w14:paraId="61139785">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t xml:space="preserve"> One-touch operation, recipe memory</w:t>
            </w:r>
          </w:p>
          <w:p w14:paraId="0E91EBBA">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bl>
    <w:p w14:paraId="3745089D">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6368CC36">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p>
    <w:p w14:paraId="701652F3">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p>
    <w:p w14:paraId="527B52DD">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p>
    <w:p w14:paraId="43B9108B">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none"/>
          <w:shd w:val="clear" w:fill="FFFFFF"/>
          <w:lang w:val="en-US" w:eastAsia="zh-CN"/>
        </w:rPr>
      </w:pPr>
    </w:p>
    <w:p w14:paraId="34BE09EA">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44A508D9">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33816F4F">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65BD6798">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28786A8C">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Powder Characterisation</w:t>
      </w:r>
    </w:p>
    <w:p w14:paraId="00D632B9">
      <w:pPr>
        <w:bidi w:val="0"/>
        <w:jc w:val="center"/>
        <w:rPr>
          <w:rStyle w:val="9"/>
          <w:rFonts w:hint="default" w:ascii="思源黑体 CN Normal" w:hAnsi="思源黑体 CN Normal" w:eastAsia="思源黑体 CN Normal" w:cs="思源黑体 CN Normal"/>
          <w:caps w:val="0"/>
          <w:color w:val="0F1115"/>
          <w:spacing w:val="0"/>
          <w:sz w:val="22"/>
          <w:szCs w:val="22"/>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2"/>
          <w:szCs w:val="22"/>
          <w:shd w:val="clear" w:fill="FFFFFF"/>
          <w:lang w:val="en-US" w:eastAsia="zh-CN"/>
        </w:rPr>
        <w:t xml:space="preserve"> Classified by Density</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67"/>
        <w:gridCol w:w="2153"/>
        <w:gridCol w:w="2166"/>
        <w:gridCol w:w="2515"/>
      </w:tblGrid>
      <w:tr w14:paraId="352CF37F">
        <w:trPr>
          <w:tblHeader/>
        </w:trPr>
        <w:tc>
          <w:tcPr>
            <w:tcW w:w="1467" w:type="dxa"/>
            <w:tcBorders>
              <w:top w:val="nil"/>
            </w:tcBorders>
            <w:shd w:val="clear" w:color="auto" w:fill="D4F4F1" w:themeFill="accent5" w:themeFillTint="32"/>
            <w:tcMar>
              <w:top w:w="75" w:type="dxa"/>
              <w:left w:w="0" w:type="dxa"/>
              <w:bottom w:w="75" w:type="dxa"/>
              <w:right w:w="120" w:type="dxa"/>
            </w:tcMar>
            <w:vAlign w:val="center"/>
          </w:tcPr>
          <w:p w14:paraId="55FA759B">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Powder Type</w:t>
            </w:r>
          </w:p>
        </w:tc>
        <w:tc>
          <w:tcPr>
            <w:tcW w:w="2153" w:type="dxa"/>
            <w:tcBorders>
              <w:top w:val="nil"/>
            </w:tcBorders>
            <w:shd w:val="clear" w:color="auto" w:fill="D4F4F1" w:themeFill="accent5" w:themeFillTint="32"/>
            <w:tcMar>
              <w:top w:w="75" w:type="dxa"/>
              <w:left w:w="120" w:type="dxa"/>
              <w:bottom w:w="75" w:type="dxa"/>
              <w:right w:w="120" w:type="dxa"/>
            </w:tcMar>
            <w:vAlign w:val="center"/>
          </w:tcPr>
          <w:p w14:paraId="58BE0FD1">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Characteristics</w:t>
            </w:r>
          </w:p>
        </w:tc>
        <w:tc>
          <w:tcPr>
            <w:tcW w:w="2166" w:type="dxa"/>
            <w:tcBorders>
              <w:top w:val="nil"/>
            </w:tcBorders>
            <w:shd w:val="clear" w:color="auto" w:fill="D4F4F1" w:themeFill="accent5" w:themeFillTint="32"/>
            <w:tcMar>
              <w:top w:w="75" w:type="dxa"/>
              <w:left w:w="120" w:type="dxa"/>
              <w:bottom w:w="75" w:type="dxa"/>
              <w:right w:w="120" w:type="dxa"/>
            </w:tcMar>
            <w:vAlign w:val="center"/>
          </w:tcPr>
          <w:p w14:paraId="1327731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Typical materials</w:t>
            </w:r>
          </w:p>
        </w:tc>
        <w:tc>
          <w:tcPr>
            <w:tcW w:w="2515" w:type="dxa"/>
            <w:tcBorders>
              <w:top w:val="nil"/>
            </w:tcBorders>
            <w:shd w:val="clear" w:color="auto" w:fill="D4F4F1" w:themeFill="accent5" w:themeFillTint="32"/>
            <w:tcMar>
              <w:top w:w="75" w:type="dxa"/>
              <w:left w:w="120" w:type="dxa"/>
              <w:bottom w:w="75" w:type="dxa"/>
              <w:right w:w="120" w:type="dxa"/>
            </w:tcMar>
            <w:vAlign w:val="center"/>
          </w:tcPr>
          <w:p w14:paraId="4881722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Challenges in Blending</w:t>
            </w:r>
          </w:p>
        </w:tc>
      </w:tr>
      <w:tr w14:paraId="3B826468">
        <w:tc>
          <w:tcPr>
            <w:tcW w:w="1467" w:type="dxa"/>
            <w:shd w:val="clear" w:color="auto" w:fill="FFFFFF"/>
            <w:tcMar>
              <w:top w:w="75" w:type="dxa"/>
              <w:left w:w="0" w:type="dxa"/>
              <w:bottom w:w="75" w:type="dxa"/>
              <w:right w:w="120" w:type="dxa"/>
            </w:tcMar>
            <w:vAlign w:val="center"/>
          </w:tcPr>
          <w:p w14:paraId="1E30522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Powders of equal density</w:t>
            </w:r>
          </w:p>
        </w:tc>
        <w:tc>
          <w:tcPr>
            <w:tcW w:w="2153" w:type="dxa"/>
            <w:shd w:val="clear" w:color="auto" w:fill="FFFFFF"/>
            <w:tcMar>
              <w:top w:w="75" w:type="dxa"/>
              <w:left w:w="120" w:type="dxa"/>
              <w:bottom w:w="75" w:type="dxa"/>
              <w:right w:w="120" w:type="dxa"/>
            </w:tcMar>
            <w:vAlign w:val="center"/>
          </w:tcPr>
          <w:p w14:paraId="4ABF850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Similar specific gravity</w:t>
            </w:r>
          </w:p>
        </w:tc>
        <w:tc>
          <w:tcPr>
            <w:tcW w:w="2166" w:type="dxa"/>
            <w:shd w:val="clear" w:color="auto" w:fill="FFFFFF"/>
            <w:tcMar>
              <w:top w:w="75" w:type="dxa"/>
              <w:left w:w="120" w:type="dxa"/>
              <w:bottom w:w="75" w:type="dxa"/>
              <w:right w:w="120" w:type="dxa"/>
            </w:tcMar>
            <w:vAlign w:val="center"/>
          </w:tcPr>
          <w:p w14:paraId="4BAED86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Blending of similar materials</w:t>
            </w:r>
          </w:p>
        </w:tc>
        <w:tc>
          <w:tcPr>
            <w:tcW w:w="2515" w:type="dxa"/>
            <w:shd w:val="clear" w:color="auto" w:fill="FFFFFF"/>
            <w:tcMar>
              <w:top w:w="75" w:type="dxa"/>
              <w:left w:w="120" w:type="dxa"/>
              <w:bottom w:w="75" w:type="dxa"/>
              <w:right w:w="0" w:type="dxa"/>
            </w:tcMar>
            <w:vAlign w:val="center"/>
          </w:tcPr>
          <w:p w14:paraId="36B78520">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Relatively easy to blend</w:t>
            </w:r>
          </w:p>
        </w:tc>
      </w:tr>
      <w:tr w14:paraId="39F8911E">
        <w:trPr>
          <w:trHeight w:val="90" w:hRule="atLeast"/>
        </w:trPr>
        <w:tc>
          <w:tcPr>
            <w:tcW w:w="1467" w:type="dxa"/>
            <w:shd w:val="clear" w:color="auto" w:fill="FFFFFF"/>
            <w:tcMar>
              <w:top w:w="75" w:type="dxa"/>
              <w:left w:w="0" w:type="dxa"/>
              <w:bottom w:w="75" w:type="dxa"/>
              <w:right w:w="120" w:type="dxa"/>
            </w:tcMar>
            <w:vAlign w:val="center"/>
          </w:tcPr>
          <w:p w14:paraId="1CFFF29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b w:val="0"/>
                <w:bCs/>
                <w:i w:val="0"/>
                <w:iCs w:val="0"/>
                <w:caps w:val="0"/>
                <w:color w:val="0F1115"/>
                <w:spacing w:val="0"/>
                <w:kern w:val="0"/>
                <w:sz w:val="20"/>
                <w:szCs w:val="20"/>
                <w:lang w:val="en-US" w:eastAsia="zh-CN" w:bidi="ar"/>
              </w:rPr>
              <w:t>High-density powders</w:t>
            </w:r>
          </w:p>
        </w:tc>
        <w:tc>
          <w:tcPr>
            <w:tcW w:w="2153" w:type="dxa"/>
            <w:shd w:val="clear" w:color="auto" w:fill="FFFFFF"/>
            <w:tcMar>
              <w:top w:w="75" w:type="dxa"/>
              <w:left w:w="120" w:type="dxa"/>
              <w:bottom w:w="75" w:type="dxa"/>
              <w:right w:w="120" w:type="dxa"/>
            </w:tcMar>
            <w:vAlign w:val="center"/>
          </w:tcPr>
          <w:p w14:paraId="54D4E9C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Extremely high specific gravity</w:t>
            </w:r>
          </w:p>
        </w:tc>
        <w:tc>
          <w:tcPr>
            <w:tcW w:w="2166" w:type="dxa"/>
            <w:shd w:val="clear" w:color="auto" w:fill="FFFFFF"/>
            <w:tcMar>
              <w:top w:w="75" w:type="dxa"/>
              <w:left w:w="120" w:type="dxa"/>
              <w:bottom w:w="75" w:type="dxa"/>
              <w:right w:w="120" w:type="dxa"/>
            </w:tcMar>
            <w:vAlign w:val="center"/>
          </w:tcPr>
          <w:p w14:paraId="4AD8E03C">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Iron powder, alloy powders</w:t>
            </w:r>
          </w:p>
        </w:tc>
        <w:tc>
          <w:tcPr>
            <w:tcW w:w="2515" w:type="dxa"/>
            <w:shd w:val="clear" w:color="auto" w:fill="FFFFFF"/>
            <w:tcMar>
              <w:top w:w="75" w:type="dxa"/>
              <w:left w:w="120" w:type="dxa"/>
              <w:bottom w:w="75" w:type="dxa"/>
              <w:right w:w="0" w:type="dxa"/>
            </w:tcMar>
            <w:vAlign w:val="center"/>
          </w:tcPr>
          <w:p w14:paraId="030DBFE2">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High load</w:t>
            </w:r>
          </w:p>
          <w:p w14:paraId="2B56761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Very high torque requirements</w:t>
            </w:r>
          </w:p>
        </w:tc>
      </w:tr>
      <w:tr w14:paraId="475845F0">
        <w:tc>
          <w:tcPr>
            <w:tcW w:w="1467" w:type="dxa"/>
            <w:shd w:val="clear" w:color="auto" w:fill="FFFFFF"/>
            <w:tcMar>
              <w:top w:w="75" w:type="dxa"/>
              <w:left w:w="0" w:type="dxa"/>
              <w:bottom w:w="75" w:type="dxa"/>
              <w:right w:w="120" w:type="dxa"/>
            </w:tcMar>
            <w:vAlign w:val="center"/>
          </w:tcPr>
          <w:p w14:paraId="67B95DF1">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Powders with vastly differing densities</w:t>
            </w:r>
          </w:p>
        </w:tc>
        <w:tc>
          <w:tcPr>
            <w:tcW w:w="2153" w:type="dxa"/>
            <w:shd w:val="clear" w:color="auto" w:fill="FFFFFF"/>
            <w:tcMar>
              <w:top w:w="75" w:type="dxa"/>
              <w:left w:w="120" w:type="dxa"/>
              <w:bottom w:w="75" w:type="dxa"/>
              <w:right w:w="120" w:type="dxa"/>
            </w:tcMar>
            <w:vAlign w:val="center"/>
          </w:tcPr>
          <w:p w14:paraId="2934171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Density difference &gt; 2 times</w:t>
            </w:r>
          </w:p>
        </w:tc>
        <w:tc>
          <w:tcPr>
            <w:tcW w:w="2166" w:type="dxa"/>
            <w:shd w:val="clear" w:color="auto" w:fill="FFFFFF"/>
            <w:tcMar>
              <w:top w:w="75" w:type="dxa"/>
              <w:left w:w="120" w:type="dxa"/>
              <w:bottom w:w="75" w:type="dxa"/>
              <w:right w:w="120" w:type="dxa"/>
            </w:tcMar>
            <w:vAlign w:val="center"/>
          </w:tcPr>
          <w:p w14:paraId="0E154DB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Metal powders + resin</w:t>
            </w:r>
          </w:p>
          <w:p w14:paraId="0DEAF0C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Vitamins + carrier</w:t>
            </w:r>
          </w:p>
        </w:tc>
        <w:tc>
          <w:tcPr>
            <w:tcW w:w="2515" w:type="dxa"/>
            <w:shd w:val="clear" w:color="auto" w:fill="FFFFFF"/>
            <w:tcMar>
              <w:top w:w="75" w:type="dxa"/>
              <w:left w:w="120" w:type="dxa"/>
              <w:bottom w:w="75" w:type="dxa"/>
              <w:right w:w="0" w:type="dxa"/>
            </w:tcMar>
            <w:vAlign w:val="center"/>
          </w:tcPr>
          <w:p w14:paraId="3B28C51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Heavier particles sink, lighter ones float</w:t>
            </w:r>
          </w:p>
          <w:p w14:paraId="175AC81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Prone to segregation</w:t>
            </w:r>
          </w:p>
        </w:tc>
      </w:tr>
    </w:tbl>
    <w:p w14:paraId="5C4576C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i w:val="0"/>
          <w:iCs w:val="0"/>
          <w:caps w:val="0"/>
          <w:color w:val="0F1115"/>
          <w:spacing w:val="0"/>
          <w:kern w:val="0"/>
          <w:sz w:val="20"/>
          <w:szCs w:val="20"/>
          <w:lang w:val="en-US" w:eastAsia="zh-CN" w:bidi="ar"/>
        </w:rPr>
      </w:pPr>
    </w:p>
    <w:p w14:paraId="12BD7DC8">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6902A292">
      <w:pPr>
        <w:bidi w:val="0"/>
        <w:jc w:val="center"/>
        <w:rPr>
          <w:rStyle w:val="9"/>
          <w:rFonts w:hint="default" w:ascii="思源黑体 CN Normal" w:hAnsi="思源黑体 CN Normal" w:eastAsia="思源黑体 CN Normal" w:cs="思源黑体 CN Normal"/>
          <w:caps w:val="0"/>
          <w:color w:val="0F1115"/>
          <w:spacing w:val="0"/>
          <w:sz w:val="22"/>
          <w:szCs w:val="22"/>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2"/>
          <w:szCs w:val="22"/>
          <w:shd w:val="clear" w:fill="FFFFFF"/>
          <w:lang w:val="en-US" w:eastAsia="zh-CN"/>
        </w:rPr>
        <w:t xml:space="preserve"> Classified by flowability</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67"/>
        <w:gridCol w:w="2153"/>
        <w:gridCol w:w="2153"/>
        <w:gridCol w:w="2534"/>
      </w:tblGrid>
      <w:tr w14:paraId="4F0A5865">
        <w:trPr>
          <w:tblHeader/>
        </w:trPr>
        <w:tc>
          <w:tcPr>
            <w:tcW w:w="1467" w:type="dxa"/>
            <w:tcBorders>
              <w:top w:val="nil"/>
            </w:tcBorders>
            <w:shd w:val="clear" w:color="auto" w:fill="D4F4F1" w:themeFill="accent5" w:themeFillTint="32"/>
            <w:tcMar>
              <w:top w:w="75" w:type="dxa"/>
              <w:left w:w="0" w:type="dxa"/>
              <w:bottom w:w="75" w:type="dxa"/>
              <w:right w:w="120" w:type="dxa"/>
            </w:tcMar>
            <w:vAlign w:val="center"/>
          </w:tcPr>
          <w:p w14:paraId="56EEAEE4">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Powder Type</w:t>
            </w:r>
          </w:p>
        </w:tc>
        <w:tc>
          <w:tcPr>
            <w:tcW w:w="2153" w:type="dxa"/>
            <w:tcBorders>
              <w:top w:val="nil"/>
            </w:tcBorders>
            <w:shd w:val="clear" w:color="auto" w:fill="D4F4F1" w:themeFill="accent5" w:themeFillTint="32"/>
            <w:tcMar>
              <w:top w:w="75" w:type="dxa"/>
              <w:left w:w="120" w:type="dxa"/>
              <w:bottom w:w="75" w:type="dxa"/>
              <w:right w:w="120" w:type="dxa"/>
            </w:tcMar>
            <w:vAlign w:val="center"/>
          </w:tcPr>
          <w:p w14:paraId="3EB395D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Characteristics</w:t>
            </w:r>
          </w:p>
        </w:tc>
        <w:tc>
          <w:tcPr>
            <w:tcW w:w="2153" w:type="dxa"/>
            <w:tcBorders>
              <w:top w:val="nil"/>
            </w:tcBorders>
            <w:shd w:val="clear" w:color="auto" w:fill="D4F4F1" w:themeFill="accent5" w:themeFillTint="32"/>
            <w:tcMar>
              <w:top w:w="75" w:type="dxa"/>
              <w:left w:w="120" w:type="dxa"/>
              <w:bottom w:w="75" w:type="dxa"/>
              <w:right w:w="120" w:type="dxa"/>
            </w:tcMar>
            <w:vAlign w:val="center"/>
          </w:tcPr>
          <w:p w14:paraId="340DD2D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Typical Materials</w:t>
            </w:r>
          </w:p>
        </w:tc>
        <w:tc>
          <w:tcPr>
            <w:tcW w:w="2534" w:type="dxa"/>
            <w:tcBorders>
              <w:top w:val="nil"/>
            </w:tcBorders>
            <w:shd w:val="clear" w:color="auto" w:fill="D4F4F1" w:themeFill="accent5" w:themeFillTint="32"/>
            <w:tcMar>
              <w:top w:w="75" w:type="dxa"/>
              <w:left w:w="120" w:type="dxa"/>
              <w:bottom w:w="75" w:type="dxa"/>
              <w:right w:w="120" w:type="dxa"/>
            </w:tcMar>
            <w:vAlign w:val="center"/>
          </w:tcPr>
          <w:p w14:paraId="5C50589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Challenges in Mixing</w:t>
            </w:r>
          </w:p>
        </w:tc>
      </w:tr>
      <w:tr w14:paraId="3602E1C9">
        <w:tc>
          <w:tcPr>
            <w:tcW w:w="1467" w:type="dxa"/>
            <w:shd w:val="clear" w:color="auto" w:fill="FFFFFF"/>
            <w:tcMar>
              <w:top w:w="75" w:type="dxa"/>
              <w:left w:w="0" w:type="dxa"/>
              <w:bottom w:w="75" w:type="dxa"/>
              <w:right w:w="120" w:type="dxa"/>
            </w:tcMar>
            <w:vAlign w:val="center"/>
          </w:tcPr>
          <w:p w14:paraId="0619B93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Free-flowing powders</w:t>
            </w:r>
          </w:p>
        </w:tc>
        <w:tc>
          <w:tcPr>
            <w:tcW w:w="2153" w:type="dxa"/>
            <w:shd w:val="clear" w:color="auto" w:fill="FFFFFF"/>
            <w:tcMar>
              <w:top w:w="75" w:type="dxa"/>
              <w:left w:w="120" w:type="dxa"/>
              <w:bottom w:w="75" w:type="dxa"/>
              <w:right w:w="120" w:type="dxa"/>
            </w:tcMar>
            <w:vAlign w:val="center"/>
          </w:tcPr>
          <w:p w14:paraId="3CA6F13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Larger particles</w:t>
            </w:r>
          </w:p>
          <w:p w14:paraId="7CEA7F8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High sphericity</w:t>
            </w:r>
          </w:p>
          <w:p w14:paraId="4CBB78B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Good flowability</w:t>
            </w:r>
          </w:p>
        </w:tc>
        <w:tc>
          <w:tcPr>
            <w:tcW w:w="2153" w:type="dxa"/>
            <w:shd w:val="clear" w:color="auto" w:fill="FFFFFF"/>
            <w:tcMar>
              <w:top w:w="75" w:type="dxa"/>
              <w:left w:w="120" w:type="dxa"/>
              <w:bottom w:w="75" w:type="dxa"/>
              <w:right w:w="120" w:type="dxa"/>
            </w:tcMar>
            <w:vAlign w:val="center"/>
          </w:tcPr>
          <w:p w14:paraId="496AA3A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Feed pellets</w:t>
            </w:r>
          </w:p>
          <w:p w14:paraId="031ADE1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Plastic pellets</w:t>
            </w:r>
          </w:p>
          <w:p w14:paraId="4E053FD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Fertiliser granules</w:t>
            </w:r>
          </w:p>
        </w:tc>
        <w:tc>
          <w:tcPr>
            <w:tcW w:w="2534" w:type="dxa"/>
            <w:shd w:val="clear" w:color="auto" w:fill="FFFFFF"/>
            <w:tcMar>
              <w:top w:w="75" w:type="dxa"/>
              <w:left w:w="120" w:type="dxa"/>
              <w:bottom w:w="75" w:type="dxa"/>
              <w:right w:w="0" w:type="dxa"/>
            </w:tcMar>
            <w:vAlign w:val="center"/>
          </w:tcPr>
          <w:p w14:paraId="47EAF11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Prone to segregation and stratification</w:t>
            </w:r>
          </w:p>
          <w:p w14:paraId="764EB31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Separation following vibration or transport</w:t>
            </w:r>
          </w:p>
        </w:tc>
      </w:tr>
      <w:tr w14:paraId="0DA460AD">
        <w:tc>
          <w:tcPr>
            <w:tcW w:w="1467" w:type="dxa"/>
            <w:shd w:val="clear" w:color="auto" w:fill="FFFFFF"/>
            <w:tcMar>
              <w:top w:w="75" w:type="dxa"/>
              <w:left w:w="0" w:type="dxa"/>
              <w:bottom w:w="75" w:type="dxa"/>
              <w:right w:w="120" w:type="dxa"/>
            </w:tcMar>
            <w:vAlign w:val="center"/>
          </w:tcPr>
          <w:p w14:paraId="22F33C6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Sticky powders</w:t>
            </w:r>
          </w:p>
        </w:tc>
        <w:tc>
          <w:tcPr>
            <w:tcW w:w="2153" w:type="dxa"/>
            <w:shd w:val="clear" w:color="auto" w:fill="FFFFFF"/>
            <w:tcMar>
              <w:top w:w="75" w:type="dxa"/>
              <w:left w:w="120" w:type="dxa"/>
              <w:bottom w:w="75" w:type="dxa"/>
              <w:right w:w="120" w:type="dxa"/>
            </w:tcMar>
            <w:vAlign w:val="center"/>
          </w:tcPr>
          <w:p w14:paraId="360A36E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High proportion of fine particles, prone to agglomeration</w:t>
            </w:r>
          </w:p>
          <w:p w14:paraId="0FA6F3B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Poor flowability</w:t>
            </w:r>
          </w:p>
        </w:tc>
        <w:tc>
          <w:tcPr>
            <w:tcW w:w="2153" w:type="dxa"/>
            <w:shd w:val="clear" w:color="auto" w:fill="FFFFFF"/>
            <w:tcMar>
              <w:top w:w="75" w:type="dxa"/>
              <w:left w:w="120" w:type="dxa"/>
              <w:bottom w:w="75" w:type="dxa"/>
              <w:right w:w="120" w:type="dxa"/>
            </w:tcMar>
            <w:vAlign w:val="center"/>
          </w:tcPr>
          <w:p w14:paraId="23C7CBBD">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Starch, milk powder</w:t>
            </w:r>
          </w:p>
          <w:p w14:paraId="19831EA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Premix </w:t>
            </w:r>
            <w:r>
              <w:rPr>
                <w:rFonts w:hint="eastAsia" w:ascii="思源黑体 CN Normal" w:hAnsi="思源黑体 CN Normal" w:eastAsia="思源黑体 CN Normal" w:cs="思源黑体 CN Normal"/>
                <w:b w:val="0"/>
                <w:bCs/>
                <w:i w:val="0"/>
                <w:iCs w:val="0"/>
                <w:caps w:val="0"/>
                <w:color w:val="0F1115"/>
                <w:spacing w:val="0"/>
                <w:kern w:val="0"/>
                <w:sz w:val="20"/>
                <w:szCs w:val="20"/>
                <w:lang w:val="en-US" w:eastAsia="zh-CN" w:bidi="ar"/>
              </w:rPr>
              <w:t>additives</w:t>
            </w:r>
          </w:p>
        </w:tc>
        <w:tc>
          <w:tcPr>
            <w:tcW w:w="2534" w:type="dxa"/>
            <w:shd w:val="clear" w:color="auto" w:fill="FFFFFF"/>
            <w:tcMar>
              <w:top w:w="75" w:type="dxa"/>
              <w:left w:w="120" w:type="dxa"/>
              <w:bottom w:w="75" w:type="dxa"/>
              <w:right w:w="0" w:type="dxa"/>
            </w:tcMar>
            <w:vAlign w:val="center"/>
          </w:tcPr>
          <w:p w14:paraId="0F83DBF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Prone to sticking to walls and caking</w:t>
            </w:r>
          </w:p>
          <w:p w14:paraId="5CF67F7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Material accumulation in mixing dead zones</w:t>
            </w:r>
          </w:p>
        </w:tc>
      </w:tr>
      <w:tr w14:paraId="3D69A0C9">
        <w:tc>
          <w:tcPr>
            <w:tcW w:w="1467" w:type="dxa"/>
            <w:shd w:val="clear" w:color="auto" w:fill="FFFFFF"/>
            <w:tcMar>
              <w:top w:w="75" w:type="dxa"/>
              <w:left w:w="0" w:type="dxa"/>
              <w:bottom w:w="75" w:type="dxa"/>
              <w:right w:w="120" w:type="dxa"/>
            </w:tcMar>
            <w:vAlign w:val="center"/>
          </w:tcPr>
          <w:p w14:paraId="5168C63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Ultra-fine powders</w:t>
            </w:r>
          </w:p>
        </w:tc>
        <w:tc>
          <w:tcPr>
            <w:tcW w:w="2153" w:type="dxa"/>
            <w:shd w:val="clear" w:color="auto" w:fill="FFFFFF"/>
            <w:tcMar>
              <w:top w:w="75" w:type="dxa"/>
              <w:left w:w="120" w:type="dxa"/>
              <w:bottom w:w="75" w:type="dxa"/>
              <w:right w:w="120" w:type="dxa"/>
            </w:tcMar>
            <w:vAlign w:val="center"/>
          </w:tcPr>
          <w:p w14:paraId="7033545C">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Particle size &lt; 50 μm</w:t>
            </w:r>
          </w:p>
          <w:p w14:paraId="703BBC0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High specific surface area</w:t>
            </w:r>
          </w:p>
        </w:tc>
        <w:tc>
          <w:tcPr>
            <w:tcW w:w="2153" w:type="dxa"/>
            <w:shd w:val="clear" w:color="auto" w:fill="FFFFFF"/>
            <w:tcMar>
              <w:top w:w="75" w:type="dxa"/>
              <w:left w:w="120" w:type="dxa"/>
              <w:bottom w:w="75" w:type="dxa"/>
              <w:right w:w="120" w:type="dxa"/>
            </w:tcMar>
            <w:vAlign w:val="center"/>
          </w:tcPr>
          <w:p w14:paraId="7E83F91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Pigments, nanomaterials</w:t>
            </w:r>
          </w:p>
          <w:p w14:paraId="0DF2A21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Ultrafine powders of traditional Chinese medicine</w:t>
            </w:r>
          </w:p>
        </w:tc>
        <w:tc>
          <w:tcPr>
            <w:tcW w:w="2534" w:type="dxa"/>
            <w:shd w:val="clear" w:color="auto" w:fill="FFFFFF"/>
            <w:tcMar>
              <w:top w:w="75" w:type="dxa"/>
              <w:left w:w="120" w:type="dxa"/>
              <w:bottom w:w="75" w:type="dxa"/>
              <w:right w:w="0" w:type="dxa"/>
            </w:tcMar>
            <w:vAlign w:val="center"/>
          </w:tcPr>
          <w:p w14:paraId="43BF334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Prone to agglomeration</w:t>
            </w:r>
          </w:p>
          <w:p w14:paraId="52357F5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b w:val="0"/>
                <w:bCs/>
                <w:i w:val="0"/>
                <w:iCs w:val="0"/>
                <w:caps w:val="0"/>
                <w:color w:val="0F1115"/>
                <w:spacing w:val="0"/>
                <w:kern w:val="0"/>
                <w:sz w:val="20"/>
                <w:szCs w:val="20"/>
                <w:lang w:val="en-US" w:eastAsia="zh-CN" w:bidi="ar"/>
              </w:rPr>
              <w:t xml:space="preserve"> Electrostatic adsorption</w:t>
            </w:r>
          </w:p>
        </w:tc>
      </w:tr>
    </w:tbl>
    <w:p w14:paraId="460EF982">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3C251BF5">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2CEDAC5A">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314749D2">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Problems with Conventional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M</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ixing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M</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ethods</w:t>
      </w:r>
    </w:p>
    <w:tbl>
      <w:tblPr>
        <w:tblStyle w:val="6"/>
        <w:tblW w:w="8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74"/>
        <w:gridCol w:w="3685"/>
        <w:gridCol w:w="2948"/>
      </w:tblGrid>
      <w:tr w14:paraId="04D900E7">
        <w:trPr>
          <w:tblHeader/>
        </w:trPr>
        <w:tc>
          <w:tcPr>
            <w:tcW w:w="1674" w:type="dxa"/>
            <w:shd w:val="clear" w:color="auto" w:fill="D4F4F1" w:themeFill="accent5" w:themeFillTint="32"/>
            <w:tcMar>
              <w:top w:w="75" w:type="dxa"/>
              <w:left w:w="0" w:type="dxa"/>
              <w:bottom w:w="75" w:type="dxa"/>
              <w:right w:w="120" w:type="dxa"/>
            </w:tcMar>
            <w:vAlign w:val="center"/>
          </w:tcPr>
          <w:p w14:paraId="0B1AD6B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Problem Dimensions</w:t>
            </w:r>
          </w:p>
        </w:tc>
        <w:tc>
          <w:tcPr>
            <w:tcW w:w="3685" w:type="dxa"/>
            <w:shd w:val="clear" w:color="auto" w:fill="D4F4F1" w:themeFill="accent5" w:themeFillTint="32"/>
            <w:tcMar>
              <w:top w:w="75" w:type="dxa"/>
              <w:left w:w="120" w:type="dxa"/>
              <w:bottom w:w="75" w:type="dxa"/>
              <w:right w:w="120" w:type="dxa"/>
            </w:tcMar>
            <w:vAlign w:val="center"/>
          </w:tcPr>
          <w:p w14:paraId="01E231AC">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Pain Points of Traditional Solutions</w:t>
            </w:r>
          </w:p>
        </w:tc>
        <w:tc>
          <w:tcPr>
            <w:tcW w:w="2948" w:type="dxa"/>
            <w:shd w:val="clear" w:color="auto" w:fill="D4F4F1" w:themeFill="accent5" w:themeFillTint="32"/>
            <w:tcMar>
              <w:top w:w="75" w:type="dxa"/>
              <w:left w:w="120" w:type="dxa"/>
              <w:bottom w:w="75" w:type="dxa"/>
              <w:right w:w="120" w:type="dxa"/>
            </w:tcMar>
            <w:vAlign w:val="center"/>
          </w:tcPr>
          <w:p w14:paraId="5A924E64">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Impact on </w:t>
            </w:r>
            <w:r>
              <w:rPr>
                <w:rStyle w:val="9"/>
                <w:rFonts w:hint="default" w:ascii="思源黑体 CN Normal" w:hAnsi="思源黑体 CN Normal" w:eastAsia="思源黑体 CN Normal" w:cs="思源黑体 CN Normal"/>
                <w:b w:val="0"/>
                <w:bCs/>
                <w:caps w:val="0"/>
                <w:color w:val="0F1115"/>
                <w:spacing w:val="0"/>
                <w:sz w:val="18"/>
                <w:szCs w:val="18"/>
                <w:shd w:val="clear" w:fill="FFFFFF"/>
                <w:lang w:val="en-US" w:eastAsia="zh-CN"/>
              </w:rPr>
              <w:t>C</w:t>
            </w: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ustomers</w:t>
            </w:r>
          </w:p>
        </w:tc>
      </w:tr>
      <w:tr w14:paraId="749D2633">
        <w:trPr>
          <w:trHeight w:val="90" w:hRule="atLeast"/>
        </w:trPr>
        <w:tc>
          <w:tcPr>
            <w:tcW w:w="1674" w:type="dxa"/>
            <w:shd w:val="clear" w:color="auto" w:fill="FFFFFF"/>
            <w:tcMar>
              <w:top w:w="75" w:type="dxa"/>
              <w:left w:w="0" w:type="dxa"/>
              <w:bottom w:w="75" w:type="dxa"/>
              <w:right w:w="120" w:type="dxa"/>
            </w:tcMar>
            <w:vAlign w:val="center"/>
          </w:tcPr>
          <w:p w14:paraId="5450B47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Poor mixing uniformity</w:t>
            </w:r>
          </w:p>
        </w:tc>
        <w:tc>
          <w:tcPr>
            <w:tcW w:w="3685" w:type="dxa"/>
            <w:shd w:val="clear" w:color="auto" w:fill="FFFFFF"/>
            <w:tcMar>
              <w:top w:w="75" w:type="dxa"/>
              <w:left w:w="120" w:type="dxa"/>
              <w:bottom w:w="75" w:type="dxa"/>
              <w:right w:w="120" w:type="dxa"/>
            </w:tcMar>
            <w:vAlign w:val="center"/>
          </w:tcPr>
          <w:p w14:paraId="540DED4D">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Inappropriate equipment selection; materials with significant differences in specific gravity are prone to separation</w:t>
            </w:r>
          </w:p>
        </w:tc>
        <w:tc>
          <w:tcPr>
            <w:tcW w:w="2948" w:type="dxa"/>
            <w:shd w:val="clear" w:color="auto" w:fill="FFFFFF"/>
            <w:tcMar>
              <w:top w:w="75" w:type="dxa"/>
              <w:left w:w="120" w:type="dxa"/>
              <w:bottom w:w="75" w:type="dxa"/>
              <w:right w:w="0" w:type="dxa"/>
            </w:tcMar>
            <w:vAlign w:val="center"/>
          </w:tcPr>
          <w:p w14:paraId="3B636E7F">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Inconsistent batch quality, leading to quality complaints</w:t>
            </w:r>
          </w:p>
        </w:tc>
      </w:tr>
      <w:tr w14:paraId="4A711F74">
        <w:tc>
          <w:tcPr>
            <w:tcW w:w="1674" w:type="dxa"/>
            <w:shd w:val="clear" w:color="auto" w:fill="FFFFFF"/>
            <w:tcMar>
              <w:top w:w="75" w:type="dxa"/>
              <w:left w:w="0" w:type="dxa"/>
              <w:bottom w:w="75" w:type="dxa"/>
              <w:right w:w="120" w:type="dxa"/>
            </w:tcMar>
            <w:vAlign w:val="center"/>
          </w:tcPr>
          <w:p w14:paraId="151B08B5">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Long mixing times</w:t>
            </w:r>
          </w:p>
        </w:tc>
        <w:tc>
          <w:tcPr>
            <w:tcW w:w="3685" w:type="dxa"/>
            <w:shd w:val="clear" w:color="auto" w:fill="FFFFFF"/>
            <w:tcMar>
              <w:top w:w="75" w:type="dxa"/>
              <w:left w:w="120" w:type="dxa"/>
              <w:bottom w:w="75" w:type="dxa"/>
              <w:right w:w="120" w:type="dxa"/>
            </w:tcMar>
            <w:vAlign w:val="center"/>
          </w:tcPr>
          <w:p w14:paraId="5568A1B1">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Low efficiency; 30–60 minutes per batch</w:t>
            </w:r>
          </w:p>
        </w:tc>
        <w:tc>
          <w:tcPr>
            <w:tcW w:w="2948" w:type="dxa"/>
            <w:shd w:val="clear" w:color="auto" w:fill="FFFFFF"/>
            <w:tcMar>
              <w:top w:w="75" w:type="dxa"/>
              <w:left w:w="120" w:type="dxa"/>
              <w:bottom w:w="75" w:type="dxa"/>
              <w:right w:w="0" w:type="dxa"/>
            </w:tcMar>
            <w:vAlign w:val="center"/>
          </w:tcPr>
          <w:p w14:paraId="6A768C39">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Limited production capacity and high energy consumption</w:t>
            </w:r>
          </w:p>
        </w:tc>
      </w:tr>
      <w:tr w14:paraId="6246B428">
        <w:tc>
          <w:tcPr>
            <w:tcW w:w="1674" w:type="dxa"/>
            <w:shd w:val="clear" w:color="auto" w:fill="FFFFFF"/>
            <w:tcMar>
              <w:top w:w="75" w:type="dxa"/>
              <w:left w:w="0" w:type="dxa"/>
              <w:bottom w:w="75" w:type="dxa"/>
              <w:right w:w="120" w:type="dxa"/>
            </w:tcMar>
            <w:vAlign w:val="center"/>
          </w:tcPr>
          <w:p w14:paraId="03FF7295">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Significant residual material in the discharge</w:t>
            </w:r>
          </w:p>
        </w:tc>
        <w:tc>
          <w:tcPr>
            <w:tcW w:w="3685" w:type="dxa"/>
            <w:shd w:val="clear" w:color="auto" w:fill="FFFFFF"/>
            <w:tcMar>
              <w:top w:w="75" w:type="dxa"/>
              <w:left w:w="120" w:type="dxa"/>
              <w:bottom w:w="75" w:type="dxa"/>
              <w:right w:w="120" w:type="dxa"/>
            </w:tcMar>
            <w:vAlign w:val="center"/>
          </w:tcPr>
          <w:p w14:paraId="0E166197">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Unsuitable structural design, material accumulation in dead corners</w:t>
            </w:r>
          </w:p>
        </w:tc>
        <w:tc>
          <w:tcPr>
            <w:tcW w:w="2948" w:type="dxa"/>
            <w:shd w:val="clear" w:color="auto" w:fill="FFFFFF"/>
            <w:tcMar>
              <w:top w:w="75" w:type="dxa"/>
              <w:left w:w="120" w:type="dxa"/>
              <w:bottom w:w="75" w:type="dxa"/>
              <w:right w:w="0" w:type="dxa"/>
            </w:tcMar>
            <w:vAlign w:val="center"/>
          </w:tcPr>
          <w:p w14:paraId="482F469D">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Cross-contamination during product changeovers, difficult to clean</w:t>
            </w:r>
          </w:p>
        </w:tc>
      </w:tr>
      <w:tr w14:paraId="24932BDC">
        <w:tc>
          <w:tcPr>
            <w:tcW w:w="1674" w:type="dxa"/>
            <w:shd w:val="clear" w:color="auto" w:fill="FFFFFF"/>
            <w:tcMar>
              <w:top w:w="75" w:type="dxa"/>
              <w:left w:w="0" w:type="dxa"/>
              <w:bottom w:w="75" w:type="dxa"/>
              <w:right w:w="120" w:type="dxa"/>
            </w:tcMar>
            <w:vAlign w:val="center"/>
          </w:tcPr>
          <w:p w14:paraId="1CF5EDFE">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Dust contamination</w:t>
            </w:r>
          </w:p>
        </w:tc>
        <w:tc>
          <w:tcPr>
            <w:tcW w:w="3685" w:type="dxa"/>
            <w:shd w:val="clear" w:color="auto" w:fill="FFFFFF"/>
            <w:tcMar>
              <w:top w:w="75" w:type="dxa"/>
              <w:left w:w="120" w:type="dxa"/>
              <w:bottom w:w="75" w:type="dxa"/>
              <w:right w:w="120" w:type="dxa"/>
            </w:tcMar>
            <w:vAlign w:val="center"/>
          </w:tcPr>
          <w:p w14:paraId="506B7E2E">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Inadequate sealing, resulting in dust leakage during the mixing process</w:t>
            </w:r>
          </w:p>
        </w:tc>
        <w:tc>
          <w:tcPr>
            <w:tcW w:w="2948" w:type="dxa"/>
            <w:shd w:val="clear" w:color="auto" w:fill="FFFFFF"/>
            <w:tcMar>
              <w:top w:w="75" w:type="dxa"/>
              <w:left w:w="120" w:type="dxa"/>
              <w:bottom w:w="75" w:type="dxa"/>
              <w:right w:w="0" w:type="dxa"/>
            </w:tcMar>
            <w:vAlign w:val="center"/>
          </w:tcPr>
          <w:p w14:paraId="2DE61DA7">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Failure to meet environmental standards, resulting in 3–5% raw material wastage</w:t>
            </w:r>
          </w:p>
        </w:tc>
      </w:tr>
      <w:tr w14:paraId="359D26DE">
        <w:trPr>
          <w:trHeight w:val="90" w:hRule="atLeast"/>
        </w:trPr>
        <w:tc>
          <w:tcPr>
            <w:tcW w:w="1674" w:type="dxa"/>
            <w:shd w:val="clear" w:color="auto" w:fill="FFFFFF"/>
            <w:tcMar>
              <w:top w:w="75" w:type="dxa"/>
              <w:left w:w="0" w:type="dxa"/>
              <w:bottom w:w="75" w:type="dxa"/>
              <w:right w:w="120" w:type="dxa"/>
            </w:tcMar>
            <w:vAlign w:val="center"/>
          </w:tcPr>
          <w:p w14:paraId="564650B9">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Excessive temperature rise</w:t>
            </w:r>
          </w:p>
        </w:tc>
        <w:tc>
          <w:tcPr>
            <w:tcW w:w="3685" w:type="dxa"/>
            <w:shd w:val="clear" w:color="auto" w:fill="FFFFFF"/>
            <w:tcMar>
              <w:top w:w="75" w:type="dxa"/>
              <w:left w:w="120" w:type="dxa"/>
              <w:bottom w:w="75" w:type="dxa"/>
              <w:right w:w="120" w:type="dxa"/>
            </w:tcMar>
            <w:vAlign w:val="center"/>
          </w:tcPr>
          <w:p w14:paraId="0EB90413">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Vigorous agitation causing material to heat up</w:t>
            </w:r>
          </w:p>
        </w:tc>
        <w:tc>
          <w:tcPr>
            <w:tcW w:w="2948" w:type="dxa"/>
            <w:shd w:val="clear" w:color="auto" w:fill="FFFFFF"/>
            <w:tcMar>
              <w:top w:w="75" w:type="dxa"/>
              <w:left w:w="120" w:type="dxa"/>
              <w:bottom w:w="75" w:type="dxa"/>
              <w:right w:w="0" w:type="dxa"/>
            </w:tcMar>
            <w:vAlign w:val="center"/>
          </w:tcPr>
          <w:p w14:paraId="6CDC32FC">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Degradation of heat-sensitive components, resulting in reduced product quality</w:t>
            </w:r>
          </w:p>
        </w:tc>
      </w:tr>
      <w:tr w14:paraId="15472EF4">
        <w:tc>
          <w:tcPr>
            <w:tcW w:w="1674" w:type="dxa"/>
            <w:shd w:val="clear" w:color="auto" w:fill="FFFFFF"/>
            <w:tcMar>
              <w:top w:w="75" w:type="dxa"/>
              <w:left w:w="0" w:type="dxa"/>
              <w:bottom w:w="75" w:type="dxa"/>
              <w:right w:w="120" w:type="dxa"/>
            </w:tcMar>
            <w:vAlign w:val="center"/>
          </w:tcPr>
          <w:p w14:paraId="39E00B5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High equipment failure rate</w:t>
            </w:r>
          </w:p>
        </w:tc>
        <w:tc>
          <w:tcPr>
            <w:tcW w:w="3685" w:type="dxa"/>
            <w:shd w:val="clear" w:color="auto" w:fill="FFFFFF"/>
            <w:tcMar>
              <w:top w:w="75" w:type="dxa"/>
              <w:left w:w="120" w:type="dxa"/>
              <w:bottom w:w="75" w:type="dxa"/>
              <w:right w:w="120" w:type="dxa"/>
            </w:tcMar>
            <w:vAlign w:val="center"/>
          </w:tcPr>
          <w:p w14:paraId="06D7D7BD">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Bearing dust leakage, motor overload, gearbox overload</w:t>
            </w:r>
          </w:p>
        </w:tc>
        <w:tc>
          <w:tcPr>
            <w:tcW w:w="2948" w:type="dxa"/>
            <w:shd w:val="clear" w:color="auto" w:fill="FFFFFF"/>
            <w:tcMar>
              <w:top w:w="75" w:type="dxa"/>
              <w:left w:w="120" w:type="dxa"/>
              <w:bottom w:w="75" w:type="dxa"/>
              <w:right w:w="0" w:type="dxa"/>
            </w:tcMar>
            <w:vAlign w:val="center"/>
          </w:tcPr>
          <w:p w14:paraId="77DF4A58">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18"/>
                <w:szCs w:val="18"/>
                <w:shd w:val="clear" w:fill="FFFFFF"/>
                <w:lang w:val="en-US" w:eastAsia="zh-CN"/>
              </w:rPr>
              <w:t xml:space="preserve"> Frequent shutdowns for maintenance, affecting production</w:t>
            </w:r>
          </w:p>
        </w:tc>
      </w:tr>
    </w:tbl>
    <w:p w14:paraId="259B0BD4">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Product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election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R</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ecommended by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p>
    <w:p w14:paraId="6B72304B">
      <w:pPr>
        <w:widowControl w:val="0"/>
        <w:numPr>
          <w:ilvl w:val="0"/>
          <w:numId w:val="0"/>
        </w:numPr>
        <w:bidi w:val="0"/>
        <w:jc w:val="both"/>
        <w:rPr>
          <w:rStyle w:val="8"/>
          <w:rFonts w:hint="eastAsia"/>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F7EAFF4">
        <w:trPr>
          <w:trHeight w:val="1559" w:hRule="atLeast"/>
        </w:trPr>
        <w:tc>
          <w:tcPr>
            <w:tcW w:w="4261" w:type="dxa"/>
          </w:tcPr>
          <w:p w14:paraId="087CDAAD">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459C2E0B">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default"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Double</w:t>
            </w:r>
            <w:r>
              <w:rPr>
                <w:rStyle w:val="8"/>
                <w:rFonts w:hint="default" w:ascii="思源黑体 CN Normal" w:hAnsi="思源黑体 CN Normal" w:eastAsia="思源黑体 CN Normal" w:cs="思源黑体 CN Normal"/>
                <w:b/>
                <w:bCs/>
                <w:vertAlign w:val="baseline"/>
                <w:lang w:val="en-US" w:eastAsia="zh-CN"/>
              </w:rPr>
              <w:t xml:space="preserve"> </w:t>
            </w:r>
            <w:r>
              <w:rPr>
                <w:rStyle w:val="8"/>
                <w:rFonts w:hint="eastAsia" w:ascii="思源黑体 CN Normal" w:hAnsi="思源黑体 CN Normal" w:eastAsia="思源黑体 CN Normal" w:cs="思源黑体 CN Normal"/>
                <w:b/>
                <w:bCs/>
                <w:vertAlign w:val="baseline"/>
                <w:lang w:val="en-US" w:eastAsia="zh-CN"/>
              </w:rPr>
              <w:t>Cone Drum Mixer</w:t>
            </w:r>
          </w:p>
          <w:p w14:paraId="73CA9FD8">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(Laboratory version)</w:t>
            </w:r>
          </w:p>
          <w:p w14:paraId="71E6F91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Mixing principle: Gravity dispersion mixing</w:t>
            </w:r>
          </w:p>
          <w:p w14:paraId="20FD1C2A">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Optimal Mixing Uniformity: CV &lt; 1%</w:t>
            </w:r>
          </w:p>
          <w:p w14:paraId="16097A61">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Mixing Time: 10–60 min</w:t>
            </w:r>
          </w:p>
          <w:p w14:paraId="0E02BA03">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Total Sealing: 100%</w:t>
            </w:r>
          </w:p>
          <w:p w14:paraId="35A3FDB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Batch Capacity: 1–50 kg/batch</w:t>
            </w:r>
          </w:p>
          <w:p w14:paraId="1E3234EF">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Maximum filling factor: 50%</w:t>
            </w:r>
          </w:p>
          <w:p w14:paraId="72078BCF">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p>
          <w:p w14:paraId="38A64DB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View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P</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roduct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D</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etails→</w:t>
            </w:r>
          </w:p>
        </w:tc>
        <w:tc>
          <w:tcPr>
            <w:tcW w:w="4261" w:type="dxa"/>
          </w:tcPr>
          <w:p w14:paraId="370545D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59920F22">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default"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 xml:space="preserve">Double </w:t>
            </w:r>
            <w:r>
              <w:rPr>
                <w:rStyle w:val="8"/>
                <w:rFonts w:hint="eastAsia" w:ascii="思源黑体 CN Normal" w:hAnsi="思源黑体 CN Normal" w:eastAsia="思源黑体 CN Normal" w:cs="思源黑体 CN Normal"/>
                <w:b/>
                <w:bCs/>
                <w:vertAlign w:val="baseline"/>
                <w:lang w:val="en-US" w:eastAsia="zh-CN"/>
              </w:rPr>
              <w:t>Cone Drum Mixer</w:t>
            </w:r>
          </w:p>
          <w:p w14:paraId="46473EF1">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(Medium to Large Models)</w:t>
            </w:r>
          </w:p>
          <w:p w14:paraId="4C0A1457">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Mixing principle: Gravity dispersion mixing</w:t>
            </w:r>
          </w:p>
          <w:p w14:paraId="65671D55">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Optimal mixing uniformity: CV &lt; 1%</w:t>
            </w:r>
          </w:p>
          <w:p w14:paraId="3F55A230">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Mixing Time: 10–60 min</w:t>
            </w:r>
          </w:p>
          <w:p w14:paraId="7F4EEC0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Total Sealing: 100%</w:t>
            </w:r>
          </w:p>
          <w:p w14:paraId="423E57CA">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Batch Capacity: 10 kg–5 t/batch</w:t>
            </w:r>
          </w:p>
          <w:p w14:paraId="201826FF">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Maximum loading factor: 50%</w:t>
            </w:r>
          </w:p>
          <w:p w14:paraId="56C8C30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pPr>
          </w:p>
          <w:p w14:paraId="6D14CC29">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P</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roduct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D</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etails →</w:t>
            </w:r>
          </w:p>
        </w:tc>
      </w:tr>
      <w:tr w14:paraId="64705B41">
        <w:trPr>
          <w:trHeight w:val="1559" w:hRule="atLeast"/>
        </w:trPr>
        <w:tc>
          <w:tcPr>
            <w:tcW w:w="4261" w:type="dxa"/>
          </w:tcPr>
          <w:p w14:paraId="39E96EA6">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1A13C12B">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default"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Drum Mixer</w:t>
            </w:r>
          </w:p>
          <w:p w14:paraId="15342667">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(Stainless steel)</w:t>
            </w:r>
          </w:p>
          <w:p w14:paraId="67C5C5F3">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Mixing principle: Tumbling and tossing</w:t>
            </w:r>
          </w:p>
          <w:p w14:paraId="4B381A3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Optimal mixing uniformity: CV &lt; 2%</w:t>
            </w:r>
          </w:p>
          <w:p w14:paraId="09910060">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Mixing time: 10–60 minutes</w:t>
            </w:r>
          </w:p>
          <w:p w14:paraId="6EFFEA26">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Sealing Efficiency: 95%</w:t>
            </w:r>
          </w:p>
          <w:p w14:paraId="21286214">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Batch capacity: 60 kg–5 t</w:t>
            </w:r>
          </w:p>
          <w:p w14:paraId="0686DFFB">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Maximum filling factor: 35%</w:t>
            </w:r>
          </w:p>
          <w:p w14:paraId="62AF9D2A">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pPr>
          </w:p>
        </w:tc>
        <w:tc>
          <w:tcPr>
            <w:tcW w:w="4261" w:type="dxa"/>
          </w:tcPr>
          <w:p w14:paraId="49AB9135">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694B94EA">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default"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 xml:space="preserve">Double </w:t>
            </w:r>
            <w:r>
              <w:rPr>
                <w:rStyle w:val="8"/>
                <w:rFonts w:hint="eastAsia" w:ascii="思源黑体 CN Normal" w:hAnsi="思源黑体 CN Normal" w:eastAsia="思源黑体 CN Normal" w:cs="思源黑体 CN Normal"/>
                <w:b/>
                <w:bCs/>
                <w:vertAlign w:val="baseline"/>
                <w:lang w:val="en-US" w:eastAsia="zh-CN"/>
              </w:rPr>
              <w:t>Screw Mixer</w:t>
            </w:r>
          </w:p>
          <w:p w14:paraId="17F72C95">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(Stainless steel)</w:t>
            </w:r>
          </w:p>
          <w:p w14:paraId="02D1432A">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Mixing principle: Convective shearing</w:t>
            </w:r>
          </w:p>
          <w:p w14:paraId="7CEF78BC">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Optimal mixing uniformity: CV &lt; 3%</w:t>
            </w:r>
          </w:p>
          <w:p w14:paraId="06764D1E">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Mixing time: 5–30 minutes</w:t>
            </w:r>
          </w:p>
          <w:p w14:paraId="1C2AF390">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Fully Sealed: 100%</w:t>
            </w:r>
          </w:p>
          <w:p w14:paraId="450BB1F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Batch capacity: 100 kg–5 t</w:t>
            </w:r>
          </w:p>
          <w:p w14:paraId="75CB3C6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auto"/>
                <w:spacing w:val="0"/>
                <w:sz w:val="20"/>
                <w:szCs w:val="20"/>
                <w:u w:val="none"/>
                <w:shd w:val="clear" w:fill="FFFFFF"/>
                <w:lang w:val="en-US" w:eastAsia="zh-CN"/>
              </w:rPr>
            </w:pPr>
            <w:r>
              <w:rPr>
                <w:rStyle w:val="9"/>
                <w:rFonts w:hint="eastAsia" w:ascii="思源黑体 CN Normal" w:hAnsi="思源黑体 CN Normal" w:eastAsia="思源黑体 CN Normal" w:cs="思源黑体 CN Normal"/>
                <w:b w:val="0"/>
                <w:bCs/>
                <w:caps w:val="0"/>
                <w:color w:val="auto"/>
                <w:spacing w:val="0"/>
                <w:sz w:val="20"/>
                <w:szCs w:val="20"/>
                <w:u w:val="none"/>
                <w:shd w:val="clear" w:fill="FFFFFF"/>
                <w:lang w:val="en-US" w:eastAsia="zh-CN"/>
              </w:rPr>
              <w:t xml:space="preserve"> Maximum loading factor: 70%</w:t>
            </w:r>
          </w:p>
          <w:p w14:paraId="1871C4D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pPr>
          </w:p>
        </w:tc>
      </w:tr>
    </w:tbl>
    <w:p w14:paraId="10FF0C3F">
      <w:pPr>
        <w:widowControl w:val="0"/>
        <w:numPr>
          <w:ilvl w:val="0"/>
          <w:numId w:val="0"/>
        </w:numPr>
        <w:bidi w:val="0"/>
        <w:jc w:val="both"/>
        <w:rPr>
          <w:rStyle w:val="8"/>
          <w:rFonts w:hint="eastAsia"/>
          <w:lang w:val="en-US" w:eastAsia="zh-CN"/>
        </w:rPr>
      </w:pPr>
    </w:p>
    <w:p w14:paraId="4AA508BE">
      <w:pPr>
        <w:widowControl w:val="0"/>
        <w:numPr>
          <w:ilvl w:val="0"/>
          <w:numId w:val="0"/>
        </w:numPr>
        <w:bidi w:val="0"/>
        <w:jc w:val="both"/>
        <w:rPr>
          <w:rStyle w:val="8"/>
          <w:rFonts w:hint="eastAsia"/>
          <w:lang w:val="en-US" w:eastAsia="zh-CN"/>
        </w:rPr>
      </w:pP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05"/>
        <w:gridCol w:w="2504"/>
        <w:gridCol w:w="2105"/>
        <w:gridCol w:w="2109"/>
      </w:tblGrid>
      <w:tr w14:paraId="4ECD6216">
        <w:trPr>
          <w:tblHeader/>
        </w:trPr>
        <w:tc>
          <w:tcPr>
            <w:tcW w:w="1012" w:type="pct"/>
            <w:tcBorders>
              <w:top w:val="nil"/>
            </w:tcBorders>
            <w:shd w:val="clear" w:color="auto" w:fill="D4F4F1" w:themeFill="accent5" w:themeFillTint="32"/>
            <w:tcMar>
              <w:top w:w="75" w:type="dxa"/>
              <w:left w:w="0" w:type="dxa"/>
              <w:bottom w:w="75" w:type="dxa"/>
              <w:right w:w="120" w:type="dxa"/>
            </w:tcMar>
            <w:vAlign w:val="center"/>
          </w:tcPr>
          <w:p w14:paraId="2E8E9B55">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b/>
                <w:bCs/>
                <w:i w:val="0"/>
                <w:iCs w:val="0"/>
                <w:caps w:val="0"/>
                <w:color w:val="0F1115"/>
                <w:spacing w:val="0"/>
                <w:sz w:val="20"/>
                <w:szCs w:val="20"/>
              </w:rPr>
            </w:pPr>
            <w:r>
              <w:rPr>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Comparison criteria</w:t>
            </w:r>
          </w:p>
        </w:tc>
        <w:tc>
          <w:tcPr>
            <w:tcW w:w="1486" w:type="pct"/>
            <w:tcBorders>
              <w:top w:val="nil"/>
            </w:tcBorders>
            <w:shd w:val="clear" w:color="auto" w:fill="D4F4F1" w:themeFill="accent5" w:themeFillTint="32"/>
            <w:tcMar>
              <w:top w:w="75" w:type="dxa"/>
              <w:left w:w="120" w:type="dxa"/>
              <w:bottom w:w="75" w:type="dxa"/>
              <w:right w:w="120" w:type="dxa"/>
            </w:tcMar>
            <w:vAlign w:val="center"/>
          </w:tcPr>
          <w:p w14:paraId="47AE7BEF">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b/>
                <w:bCs/>
                <w:i w:val="0"/>
                <w:iCs w:val="0"/>
                <w:caps w:val="0"/>
                <w:color w:val="0F1115"/>
                <w:spacing w:val="0"/>
                <w:sz w:val="20"/>
                <w:szCs w:val="20"/>
              </w:rPr>
            </w:pPr>
            <w:r>
              <w:rPr>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Twin-cone </w:t>
            </w:r>
            <w:r>
              <w:rPr>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D</w:t>
            </w:r>
            <w:r>
              <w:rPr>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rum </w:t>
            </w:r>
            <w:r>
              <w:rPr>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M</w:t>
            </w:r>
            <w:r>
              <w:rPr>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ixer</w:t>
            </w:r>
          </w:p>
        </w:tc>
        <w:tc>
          <w:tcPr>
            <w:tcW w:w="1249" w:type="pct"/>
            <w:tcBorders>
              <w:top w:val="nil"/>
            </w:tcBorders>
            <w:shd w:val="clear" w:color="auto" w:fill="D4F4F1" w:themeFill="accent5" w:themeFillTint="32"/>
            <w:tcMar>
              <w:top w:w="75" w:type="dxa"/>
              <w:left w:w="120" w:type="dxa"/>
              <w:bottom w:w="75" w:type="dxa"/>
              <w:right w:w="120" w:type="dxa"/>
            </w:tcMar>
            <w:vAlign w:val="center"/>
          </w:tcPr>
          <w:p w14:paraId="0691167F">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b/>
                <w:bCs/>
                <w:i w:val="0"/>
                <w:iCs w:val="0"/>
                <w:caps w:val="0"/>
                <w:color w:val="0F1115"/>
                <w:spacing w:val="0"/>
                <w:sz w:val="20"/>
                <w:szCs w:val="20"/>
              </w:rPr>
            </w:pPr>
            <w:r>
              <w:rPr>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Drum </w:t>
            </w:r>
            <w:r>
              <w:rPr>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M</w:t>
            </w:r>
            <w:r>
              <w:rPr>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ixer</w:t>
            </w:r>
          </w:p>
        </w:tc>
        <w:tc>
          <w:tcPr>
            <w:tcW w:w="1251" w:type="pct"/>
            <w:tcBorders>
              <w:top w:val="nil"/>
            </w:tcBorders>
            <w:shd w:val="clear" w:color="auto" w:fill="D4F4F1" w:themeFill="accent5" w:themeFillTint="32"/>
            <w:tcMar>
              <w:top w:w="75" w:type="dxa"/>
              <w:left w:w="120" w:type="dxa"/>
              <w:bottom w:w="75" w:type="dxa"/>
              <w:right w:w="120" w:type="dxa"/>
            </w:tcMar>
            <w:vAlign w:val="center"/>
          </w:tcPr>
          <w:p w14:paraId="69E655A7">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b/>
                <w:bCs/>
                <w:i w:val="0"/>
                <w:iCs w:val="0"/>
                <w:caps w:val="0"/>
                <w:color w:val="0F1115"/>
                <w:spacing w:val="0"/>
                <w:sz w:val="20"/>
                <w:szCs w:val="20"/>
              </w:rPr>
            </w:pPr>
            <w:r>
              <w:rPr>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Double S</w:t>
            </w:r>
            <w:r>
              <w:rPr>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crew </w:t>
            </w:r>
            <w:r>
              <w:rPr>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M</w:t>
            </w:r>
            <w:r>
              <w:rPr>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ixer</w:t>
            </w:r>
          </w:p>
        </w:tc>
      </w:tr>
      <w:tr w14:paraId="43515E29">
        <w:tc>
          <w:tcPr>
            <w:tcW w:w="1012" w:type="pct"/>
            <w:shd w:val="clear" w:color="auto" w:fill="FFFFFF"/>
            <w:tcMar>
              <w:top w:w="75" w:type="dxa"/>
              <w:left w:w="0" w:type="dxa"/>
              <w:bottom w:w="75" w:type="dxa"/>
              <w:right w:w="120" w:type="dxa"/>
            </w:tcMar>
            <w:vAlign w:val="center"/>
          </w:tcPr>
          <w:p w14:paraId="63EFCDA9">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Mixing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P</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rinciple</w:t>
            </w:r>
          </w:p>
        </w:tc>
        <w:tc>
          <w:tcPr>
            <w:tcW w:w="1486" w:type="pct"/>
            <w:shd w:val="clear" w:color="auto" w:fill="FFFFFF"/>
            <w:tcMar>
              <w:top w:w="75" w:type="dxa"/>
              <w:left w:w="120" w:type="dxa"/>
              <w:bottom w:w="75" w:type="dxa"/>
              <w:right w:w="120" w:type="dxa"/>
            </w:tcMar>
            <w:vAlign w:val="center"/>
          </w:tcPr>
          <w:p w14:paraId="51343907">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Gravity diffusion</w:t>
            </w:r>
          </w:p>
        </w:tc>
        <w:tc>
          <w:tcPr>
            <w:tcW w:w="1249" w:type="pct"/>
            <w:shd w:val="clear" w:color="auto" w:fill="FFFFFF"/>
            <w:tcMar>
              <w:top w:w="75" w:type="dxa"/>
              <w:left w:w="120" w:type="dxa"/>
              <w:bottom w:w="75" w:type="dxa"/>
              <w:right w:w="120" w:type="dxa"/>
            </w:tcMar>
            <w:vAlign w:val="center"/>
          </w:tcPr>
          <w:p w14:paraId="3E6C9655">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Tumbling and Sprinkling</w:t>
            </w:r>
          </w:p>
        </w:tc>
        <w:tc>
          <w:tcPr>
            <w:tcW w:w="1251" w:type="pct"/>
            <w:shd w:val="clear" w:color="auto" w:fill="FFFFFF"/>
            <w:tcMar>
              <w:top w:w="75" w:type="dxa"/>
              <w:left w:w="120" w:type="dxa"/>
              <w:bottom w:w="75" w:type="dxa"/>
              <w:right w:w="0" w:type="dxa"/>
            </w:tcMar>
            <w:vAlign w:val="center"/>
          </w:tcPr>
          <w:p w14:paraId="514C785F">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Convective Shearing</w:t>
            </w:r>
          </w:p>
        </w:tc>
      </w:tr>
      <w:tr w14:paraId="347A0501">
        <w:tc>
          <w:tcPr>
            <w:tcW w:w="1012" w:type="pct"/>
            <w:shd w:val="clear" w:color="auto" w:fill="FFFFFF"/>
            <w:tcMar>
              <w:top w:w="75" w:type="dxa"/>
              <w:left w:w="0" w:type="dxa"/>
              <w:bottom w:w="75" w:type="dxa"/>
              <w:right w:w="120" w:type="dxa"/>
            </w:tcMar>
            <w:vAlign w:val="center"/>
          </w:tcPr>
          <w:p w14:paraId="398D5BF1">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Mixing Speed</w:t>
            </w:r>
          </w:p>
        </w:tc>
        <w:tc>
          <w:tcPr>
            <w:tcW w:w="1486" w:type="pct"/>
            <w:shd w:val="clear" w:color="auto" w:fill="FFFFFF"/>
            <w:tcMar>
              <w:top w:w="75" w:type="dxa"/>
              <w:left w:w="120" w:type="dxa"/>
              <w:bottom w:w="75" w:type="dxa"/>
              <w:right w:w="120" w:type="dxa"/>
            </w:tcMar>
            <w:vAlign w:val="center"/>
          </w:tcPr>
          <w:p w14:paraId="0189C9D3">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Medium</w:t>
            </w:r>
          </w:p>
        </w:tc>
        <w:tc>
          <w:tcPr>
            <w:tcW w:w="1249" w:type="pct"/>
            <w:shd w:val="clear" w:color="auto" w:fill="FFFFFF"/>
            <w:tcMar>
              <w:top w:w="75" w:type="dxa"/>
              <w:left w:w="120" w:type="dxa"/>
              <w:bottom w:w="75" w:type="dxa"/>
              <w:right w:w="120" w:type="dxa"/>
            </w:tcMar>
            <w:vAlign w:val="center"/>
          </w:tcPr>
          <w:p w14:paraId="4EC0057F">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Medium</w:t>
            </w:r>
          </w:p>
        </w:tc>
        <w:tc>
          <w:tcPr>
            <w:tcW w:w="1251" w:type="pct"/>
            <w:shd w:val="clear" w:color="auto" w:fill="FFFFFF"/>
            <w:tcMar>
              <w:top w:w="75" w:type="dxa"/>
              <w:left w:w="120" w:type="dxa"/>
              <w:bottom w:w="75" w:type="dxa"/>
              <w:right w:w="0" w:type="dxa"/>
            </w:tcMar>
            <w:vAlign w:val="center"/>
          </w:tcPr>
          <w:p w14:paraId="796AC529">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Fast</w:t>
            </w:r>
          </w:p>
        </w:tc>
      </w:tr>
      <w:tr w14:paraId="53BE3DE0">
        <w:tc>
          <w:tcPr>
            <w:tcW w:w="1012" w:type="pct"/>
            <w:shd w:val="clear" w:color="auto" w:fill="FFFFFF"/>
            <w:tcMar>
              <w:top w:w="75" w:type="dxa"/>
              <w:left w:w="0" w:type="dxa"/>
              <w:bottom w:w="75" w:type="dxa"/>
              <w:right w:w="120" w:type="dxa"/>
            </w:tcMar>
            <w:vAlign w:val="center"/>
          </w:tcPr>
          <w:p w14:paraId="712E8150">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Homogeneity</w:t>
            </w:r>
          </w:p>
        </w:tc>
        <w:tc>
          <w:tcPr>
            <w:tcW w:w="1486" w:type="pct"/>
            <w:shd w:val="clear" w:color="auto" w:fill="FFFFFF"/>
            <w:tcMar>
              <w:top w:w="75" w:type="dxa"/>
              <w:left w:w="120" w:type="dxa"/>
              <w:bottom w:w="75" w:type="dxa"/>
              <w:right w:w="120" w:type="dxa"/>
            </w:tcMar>
            <w:vAlign w:val="center"/>
          </w:tcPr>
          <w:p w14:paraId="7E58F8AE">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High</w:t>
            </w:r>
          </w:p>
        </w:tc>
        <w:tc>
          <w:tcPr>
            <w:tcW w:w="1249" w:type="pct"/>
            <w:shd w:val="clear" w:color="auto" w:fill="FFFFFF"/>
            <w:tcMar>
              <w:top w:w="75" w:type="dxa"/>
              <w:left w:w="120" w:type="dxa"/>
              <w:bottom w:w="75" w:type="dxa"/>
              <w:right w:w="120" w:type="dxa"/>
            </w:tcMar>
            <w:vAlign w:val="center"/>
          </w:tcPr>
          <w:p w14:paraId="1715870E">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Medium</w:t>
            </w:r>
          </w:p>
        </w:tc>
        <w:tc>
          <w:tcPr>
            <w:tcW w:w="1251" w:type="pct"/>
            <w:shd w:val="clear" w:color="auto" w:fill="FFFFFF"/>
            <w:tcMar>
              <w:top w:w="75" w:type="dxa"/>
              <w:left w:w="120" w:type="dxa"/>
              <w:bottom w:w="75" w:type="dxa"/>
              <w:right w:w="0" w:type="dxa"/>
            </w:tcMar>
            <w:vAlign w:val="center"/>
          </w:tcPr>
          <w:p w14:paraId="70C43643">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High</w:t>
            </w:r>
          </w:p>
        </w:tc>
      </w:tr>
      <w:tr w14:paraId="2534CD65">
        <w:tc>
          <w:tcPr>
            <w:tcW w:w="1012" w:type="pct"/>
            <w:shd w:val="clear" w:color="auto" w:fill="FFFFFF"/>
            <w:tcMar>
              <w:top w:w="75" w:type="dxa"/>
              <w:left w:w="0" w:type="dxa"/>
              <w:bottom w:w="75" w:type="dxa"/>
              <w:right w:w="120" w:type="dxa"/>
            </w:tcMar>
            <w:vAlign w:val="center"/>
          </w:tcPr>
          <w:p w14:paraId="743F5167">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Mildness</w:t>
            </w:r>
          </w:p>
        </w:tc>
        <w:tc>
          <w:tcPr>
            <w:tcW w:w="1486" w:type="pct"/>
            <w:shd w:val="clear" w:color="auto" w:fill="FFFFFF"/>
            <w:tcMar>
              <w:top w:w="75" w:type="dxa"/>
              <w:left w:w="120" w:type="dxa"/>
              <w:bottom w:w="75" w:type="dxa"/>
              <w:right w:w="120" w:type="dxa"/>
            </w:tcMar>
            <w:vAlign w:val="center"/>
          </w:tcPr>
          <w:p w14:paraId="4BEF33F6">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Very mild</w:t>
            </w:r>
          </w:p>
        </w:tc>
        <w:tc>
          <w:tcPr>
            <w:tcW w:w="1249" w:type="pct"/>
            <w:shd w:val="clear" w:color="auto" w:fill="FFFFFF"/>
            <w:tcMar>
              <w:top w:w="75" w:type="dxa"/>
              <w:left w:w="120" w:type="dxa"/>
              <w:bottom w:w="75" w:type="dxa"/>
              <w:right w:w="120" w:type="dxa"/>
            </w:tcMar>
            <w:vAlign w:val="center"/>
          </w:tcPr>
          <w:p w14:paraId="2680F14D">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Mild</w:t>
            </w:r>
          </w:p>
        </w:tc>
        <w:tc>
          <w:tcPr>
            <w:tcW w:w="1251" w:type="pct"/>
            <w:shd w:val="clear" w:color="auto" w:fill="FFFFFF"/>
            <w:tcMar>
              <w:top w:w="75" w:type="dxa"/>
              <w:left w:w="120" w:type="dxa"/>
              <w:bottom w:w="75" w:type="dxa"/>
              <w:right w:w="0" w:type="dxa"/>
            </w:tcMar>
            <w:vAlign w:val="center"/>
          </w:tcPr>
          <w:p w14:paraId="2F43BF42">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Medium</w:t>
            </w:r>
          </w:p>
        </w:tc>
      </w:tr>
      <w:tr w14:paraId="6B77A817">
        <w:tc>
          <w:tcPr>
            <w:tcW w:w="1012" w:type="pct"/>
            <w:shd w:val="clear" w:color="auto" w:fill="FFFFFF"/>
            <w:tcMar>
              <w:top w:w="75" w:type="dxa"/>
              <w:left w:w="0" w:type="dxa"/>
              <w:bottom w:w="75" w:type="dxa"/>
              <w:right w:w="120" w:type="dxa"/>
            </w:tcMar>
            <w:vAlign w:val="center"/>
          </w:tcPr>
          <w:p w14:paraId="07DC391B">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Load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F</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actor</w:t>
            </w:r>
          </w:p>
        </w:tc>
        <w:tc>
          <w:tcPr>
            <w:tcW w:w="1486" w:type="pct"/>
            <w:shd w:val="clear" w:color="auto" w:fill="FFFFFF"/>
            <w:tcMar>
              <w:top w:w="75" w:type="dxa"/>
              <w:left w:w="120" w:type="dxa"/>
              <w:bottom w:w="75" w:type="dxa"/>
              <w:right w:w="120" w:type="dxa"/>
            </w:tcMar>
            <w:vAlign w:val="center"/>
          </w:tcPr>
          <w:p w14:paraId="757159A4">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20%–50%</w:t>
            </w:r>
            <w:r>
              <w:rPr>
                <w:rFonts w:hint="eastAsia" w:ascii="思源黑体 CN Normal" w:hAnsi="思源黑体 CN Normal" w:eastAsia="思源黑体 CN Normal" w:cs="思源黑体 CN Normal"/>
                <w:i w:val="0"/>
                <w:iCs w:val="0"/>
                <w:caps w:val="0"/>
                <w:color w:val="3964FE"/>
                <w:spacing w:val="0"/>
                <w:kern w:val="0"/>
                <w:sz w:val="20"/>
                <w:szCs w:val="20"/>
                <w:u w:val="none"/>
                <w:bdr w:val="single" w:color="auto" w:sz="8" w:space="0"/>
                <w:lang w:val="en-US" w:eastAsia="zh-CN" w:bidi="ar"/>
              </w:rPr>
              <w:fldChar w:fldCharType="begin"/>
            </w:r>
            <w:r>
              <w:rPr>
                <w:rFonts w:hint="eastAsia" w:ascii="思源黑体 CN Normal" w:hAnsi="思源黑体 CN Normal" w:eastAsia="思源黑体 CN Normal" w:cs="思源黑体 CN Normal"/>
                <w:i w:val="0"/>
                <w:iCs w:val="0"/>
                <w:caps w:val="0"/>
                <w:color w:val="3964FE"/>
                <w:spacing w:val="0"/>
                <w:kern w:val="0"/>
                <w:sz w:val="20"/>
                <w:szCs w:val="20"/>
                <w:u w:val="none"/>
                <w:bdr w:val="single" w:color="auto" w:sz="8" w:space="0"/>
                <w:lang w:val="en-US" w:eastAsia="zh-CN" w:bidi="ar"/>
              </w:rPr>
              <w:instrText xml:space="preserve"> HYPERLINK "https://baike.baidu.com/item/%E5%8F%8C%E9%94%A5%E5%9E%8B%E6%B7%B7%E5%90%88%E6%9C%BA/1619109" \t "https://chat.deepseek.com/a/chat/s/_blank" </w:instrText>
            </w:r>
            <w:r>
              <w:rPr>
                <w:rFonts w:hint="eastAsia" w:ascii="思源黑体 CN Normal" w:hAnsi="思源黑体 CN Normal" w:eastAsia="思源黑体 CN Normal" w:cs="思源黑体 CN Normal"/>
                <w:i w:val="0"/>
                <w:iCs w:val="0"/>
                <w:caps w:val="0"/>
                <w:color w:val="3964FE"/>
                <w:spacing w:val="0"/>
                <w:kern w:val="0"/>
                <w:sz w:val="20"/>
                <w:szCs w:val="20"/>
                <w:u w:val="none"/>
                <w:bdr w:val="single" w:color="auto" w:sz="8" w:space="0"/>
                <w:lang w:val="en-US" w:eastAsia="zh-CN" w:bidi="ar"/>
              </w:rPr>
              <w:fldChar w:fldCharType="separate"/>
            </w:r>
            <w:r>
              <w:rPr>
                <w:rFonts w:hint="eastAsia" w:ascii="思源黑体 CN Normal" w:hAnsi="思源黑体 CN Normal" w:eastAsia="思源黑体 CN Normal" w:cs="思源黑体 CN Normal"/>
                <w:i w:val="0"/>
                <w:iCs w:val="0"/>
                <w:caps w:val="0"/>
                <w:color w:val="3964FE"/>
                <w:spacing w:val="0"/>
                <w:kern w:val="0"/>
                <w:sz w:val="20"/>
                <w:szCs w:val="20"/>
                <w:u w:val="none"/>
                <w:bdr w:val="single" w:color="auto" w:sz="8" w:space="0"/>
                <w:lang w:val="en-US" w:eastAsia="zh-CN" w:bidi="ar"/>
              </w:rPr>
              <w:fldChar w:fldCharType="end"/>
            </w:r>
          </w:p>
        </w:tc>
        <w:tc>
          <w:tcPr>
            <w:tcW w:w="1249" w:type="pct"/>
            <w:shd w:val="clear" w:color="auto" w:fill="FFFFFF"/>
            <w:tcMar>
              <w:top w:w="75" w:type="dxa"/>
              <w:left w:w="120" w:type="dxa"/>
              <w:bottom w:w="75" w:type="dxa"/>
              <w:right w:w="120" w:type="dxa"/>
            </w:tcMar>
            <w:vAlign w:val="center"/>
          </w:tcPr>
          <w:p w14:paraId="49B31BBE">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10%–30%</w:t>
            </w:r>
          </w:p>
        </w:tc>
        <w:tc>
          <w:tcPr>
            <w:tcW w:w="1251" w:type="pct"/>
            <w:shd w:val="clear" w:color="auto" w:fill="FFFFFF"/>
            <w:tcMar>
              <w:top w:w="75" w:type="dxa"/>
              <w:left w:w="120" w:type="dxa"/>
              <w:bottom w:w="75" w:type="dxa"/>
              <w:right w:w="0" w:type="dxa"/>
            </w:tcMar>
            <w:vAlign w:val="center"/>
          </w:tcPr>
          <w:p w14:paraId="07011156">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60%–80%</w:t>
            </w:r>
          </w:p>
        </w:tc>
      </w:tr>
      <w:tr w14:paraId="4965F0D9">
        <w:tc>
          <w:tcPr>
            <w:tcW w:w="1012" w:type="pct"/>
            <w:shd w:val="clear" w:color="auto" w:fill="FFFFFF"/>
            <w:tcMar>
              <w:top w:w="75" w:type="dxa"/>
              <w:left w:w="0" w:type="dxa"/>
              <w:bottom w:w="75" w:type="dxa"/>
              <w:right w:w="120" w:type="dxa"/>
            </w:tcMar>
            <w:vAlign w:val="center"/>
          </w:tcPr>
          <w:p w14:paraId="4B1D9408">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Liquid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A</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ddition and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M</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ixing</w:t>
            </w:r>
          </w:p>
        </w:tc>
        <w:tc>
          <w:tcPr>
            <w:tcW w:w="1486" w:type="pct"/>
            <w:shd w:val="clear" w:color="auto" w:fill="FFFFFF"/>
            <w:tcMar>
              <w:top w:w="75" w:type="dxa"/>
              <w:left w:w="120" w:type="dxa"/>
              <w:bottom w:w="75" w:type="dxa"/>
              <w:right w:w="120" w:type="dxa"/>
            </w:tcMar>
            <w:vAlign w:val="center"/>
          </w:tcPr>
          <w:p w14:paraId="61F90C07">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Optional</w:t>
            </w:r>
          </w:p>
        </w:tc>
        <w:tc>
          <w:tcPr>
            <w:tcW w:w="1249" w:type="pct"/>
            <w:shd w:val="clear" w:color="auto" w:fill="FFFFFF"/>
            <w:tcMar>
              <w:top w:w="75" w:type="dxa"/>
              <w:left w:w="120" w:type="dxa"/>
              <w:bottom w:w="75" w:type="dxa"/>
              <w:right w:w="120" w:type="dxa"/>
            </w:tcMar>
            <w:vAlign w:val="center"/>
          </w:tcPr>
          <w:p w14:paraId="20937906">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Optional</w:t>
            </w:r>
          </w:p>
        </w:tc>
        <w:tc>
          <w:tcPr>
            <w:tcW w:w="1251" w:type="pct"/>
            <w:shd w:val="clear" w:color="auto" w:fill="FFFFFF"/>
            <w:tcMar>
              <w:top w:w="75" w:type="dxa"/>
              <w:left w:w="120" w:type="dxa"/>
              <w:bottom w:w="75" w:type="dxa"/>
              <w:right w:w="0" w:type="dxa"/>
            </w:tcMar>
            <w:vAlign w:val="center"/>
          </w:tcPr>
          <w:p w14:paraId="48F83DD6">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Optional</w:t>
            </w:r>
          </w:p>
        </w:tc>
      </w:tr>
      <w:tr w14:paraId="5B5A6DB6">
        <w:tc>
          <w:tcPr>
            <w:tcW w:w="1012" w:type="pct"/>
            <w:shd w:val="clear" w:color="auto" w:fill="FFFFFF"/>
            <w:tcMar>
              <w:top w:w="75" w:type="dxa"/>
              <w:left w:w="0" w:type="dxa"/>
              <w:bottom w:w="75" w:type="dxa"/>
              <w:right w:w="120" w:type="dxa"/>
            </w:tcMar>
            <w:vAlign w:val="center"/>
          </w:tcPr>
          <w:p w14:paraId="40549BF3">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Residue on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D</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ischarge</w:t>
            </w:r>
          </w:p>
        </w:tc>
        <w:tc>
          <w:tcPr>
            <w:tcW w:w="1486" w:type="pct"/>
            <w:shd w:val="clear" w:color="auto" w:fill="FFFFFF"/>
            <w:tcMar>
              <w:top w:w="75" w:type="dxa"/>
              <w:left w:w="120" w:type="dxa"/>
              <w:bottom w:w="75" w:type="dxa"/>
              <w:right w:w="120" w:type="dxa"/>
            </w:tcMar>
            <w:vAlign w:val="center"/>
          </w:tcPr>
          <w:p w14:paraId="7133276B">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default" w:ascii="思源黑体 CN Normal" w:hAnsi="思源黑体 CN Normal" w:eastAsia="思源黑体 CN Normal" w:cs="思源黑体 CN Normal"/>
                <w:i w:val="0"/>
                <w:iCs w:val="0"/>
                <w:caps w:val="0"/>
                <w:color w:val="0F1115"/>
                <w:spacing w:val="0"/>
                <w:sz w:val="20"/>
                <w:szCs w:val="20"/>
                <w:lang w:val="en-US"/>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&lt;0.1%</w:t>
            </w:r>
          </w:p>
        </w:tc>
        <w:tc>
          <w:tcPr>
            <w:tcW w:w="1249" w:type="pct"/>
            <w:shd w:val="clear" w:color="auto" w:fill="FFFFFF"/>
            <w:tcMar>
              <w:top w:w="75" w:type="dxa"/>
              <w:left w:w="120" w:type="dxa"/>
              <w:bottom w:w="75" w:type="dxa"/>
              <w:right w:w="120" w:type="dxa"/>
            </w:tcMar>
            <w:vAlign w:val="center"/>
          </w:tcPr>
          <w:p w14:paraId="5172BDEC">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lang w:val="en-US" w:eastAsia="zh-CN"/>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&lt;1%</w:t>
            </w:r>
          </w:p>
        </w:tc>
        <w:tc>
          <w:tcPr>
            <w:tcW w:w="1251" w:type="pct"/>
            <w:shd w:val="clear" w:color="auto" w:fill="FFFFFF"/>
            <w:tcMar>
              <w:top w:w="75" w:type="dxa"/>
              <w:left w:w="120" w:type="dxa"/>
              <w:bottom w:w="75" w:type="dxa"/>
              <w:right w:w="0" w:type="dxa"/>
            </w:tcMar>
            <w:vAlign w:val="center"/>
          </w:tcPr>
          <w:p w14:paraId="3EC857DE">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&lt;5%</w:t>
            </w:r>
          </w:p>
        </w:tc>
      </w:tr>
      <w:tr w14:paraId="4F483F1D">
        <w:tc>
          <w:tcPr>
            <w:tcW w:w="1012" w:type="pct"/>
            <w:shd w:val="clear" w:color="auto" w:fill="FFFFFF"/>
            <w:tcMar>
              <w:top w:w="75" w:type="dxa"/>
              <w:left w:w="0" w:type="dxa"/>
              <w:bottom w:w="75" w:type="dxa"/>
              <w:right w:w="120" w:type="dxa"/>
            </w:tcMar>
            <w:vAlign w:val="center"/>
          </w:tcPr>
          <w:p w14:paraId="3C7BF780">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Cleaning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D</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ifficulty</w:t>
            </w:r>
          </w:p>
        </w:tc>
        <w:tc>
          <w:tcPr>
            <w:tcW w:w="1486" w:type="pct"/>
            <w:shd w:val="clear" w:color="auto" w:fill="FFFFFF"/>
            <w:tcMar>
              <w:top w:w="75" w:type="dxa"/>
              <w:left w:w="120" w:type="dxa"/>
              <w:bottom w:w="75" w:type="dxa"/>
              <w:right w:w="120" w:type="dxa"/>
            </w:tcMar>
            <w:vAlign w:val="center"/>
          </w:tcPr>
          <w:p w14:paraId="6883CAC0">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Easy</w:t>
            </w:r>
          </w:p>
        </w:tc>
        <w:tc>
          <w:tcPr>
            <w:tcW w:w="1249" w:type="pct"/>
            <w:shd w:val="clear" w:color="auto" w:fill="FFFFFF"/>
            <w:tcMar>
              <w:top w:w="75" w:type="dxa"/>
              <w:left w:w="120" w:type="dxa"/>
              <w:bottom w:w="75" w:type="dxa"/>
              <w:right w:w="120" w:type="dxa"/>
            </w:tcMar>
            <w:vAlign w:val="center"/>
          </w:tcPr>
          <w:p w14:paraId="55734E29">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Medium</w:t>
            </w:r>
          </w:p>
        </w:tc>
        <w:tc>
          <w:tcPr>
            <w:tcW w:w="1251" w:type="pct"/>
            <w:shd w:val="clear" w:color="auto" w:fill="FFFFFF"/>
            <w:tcMar>
              <w:top w:w="75" w:type="dxa"/>
              <w:left w:w="120" w:type="dxa"/>
              <w:bottom w:w="75" w:type="dxa"/>
              <w:right w:w="0" w:type="dxa"/>
            </w:tcMar>
            <w:vAlign w:val="center"/>
          </w:tcPr>
          <w:p w14:paraId="7B5FDF9E">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Medium</w:t>
            </w:r>
          </w:p>
        </w:tc>
      </w:tr>
      <w:tr w14:paraId="2B808202">
        <w:tc>
          <w:tcPr>
            <w:tcW w:w="1012" w:type="pct"/>
            <w:shd w:val="clear" w:color="auto" w:fill="FFFFFF"/>
            <w:tcMar>
              <w:top w:w="75" w:type="dxa"/>
              <w:left w:w="0" w:type="dxa"/>
              <w:bottom w:w="75" w:type="dxa"/>
              <w:right w:w="120" w:type="dxa"/>
            </w:tcMar>
            <w:vAlign w:val="center"/>
          </w:tcPr>
          <w:p w14:paraId="6D7F3229">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Advantages of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L</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arge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C</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apacity</w:t>
            </w:r>
          </w:p>
        </w:tc>
        <w:tc>
          <w:tcPr>
            <w:tcW w:w="1486" w:type="pct"/>
            <w:shd w:val="clear" w:color="auto" w:fill="FFFFFF"/>
            <w:tcMar>
              <w:top w:w="75" w:type="dxa"/>
              <w:left w:w="120" w:type="dxa"/>
              <w:bottom w:w="75" w:type="dxa"/>
              <w:right w:w="120" w:type="dxa"/>
            </w:tcMar>
            <w:vAlign w:val="center"/>
          </w:tcPr>
          <w:p w14:paraId="2998AF33">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Medium</w:t>
            </w:r>
          </w:p>
        </w:tc>
        <w:tc>
          <w:tcPr>
            <w:tcW w:w="1249" w:type="pct"/>
            <w:shd w:val="clear" w:color="auto" w:fill="FFFFFF"/>
            <w:tcMar>
              <w:top w:w="75" w:type="dxa"/>
              <w:left w:w="120" w:type="dxa"/>
              <w:bottom w:w="75" w:type="dxa"/>
              <w:right w:w="120" w:type="dxa"/>
            </w:tcMar>
            <w:vAlign w:val="center"/>
          </w:tcPr>
          <w:p w14:paraId="32FE5948">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Excellent</w:t>
            </w:r>
          </w:p>
        </w:tc>
        <w:tc>
          <w:tcPr>
            <w:tcW w:w="1251" w:type="pct"/>
            <w:shd w:val="clear" w:color="auto" w:fill="FFFFFF"/>
            <w:tcMar>
              <w:top w:w="75" w:type="dxa"/>
              <w:left w:w="120" w:type="dxa"/>
              <w:bottom w:w="75" w:type="dxa"/>
              <w:right w:w="0" w:type="dxa"/>
            </w:tcMar>
            <w:vAlign w:val="center"/>
          </w:tcPr>
          <w:p w14:paraId="52CDDBDB">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Excellent</w:t>
            </w:r>
          </w:p>
        </w:tc>
      </w:tr>
      <w:tr w14:paraId="015BCEE3">
        <w:tc>
          <w:tcPr>
            <w:tcW w:w="1012" w:type="pct"/>
            <w:shd w:val="clear" w:color="auto" w:fill="FFFFFF"/>
            <w:tcMar>
              <w:top w:w="75" w:type="dxa"/>
              <w:left w:w="0" w:type="dxa"/>
              <w:bottom w:w="75" w:type="dxa"/>
              <w:right w:w="120" w:type="dxa"/>
            </w:tcMar>
            <w:vAlign w:val="center"/>
          </w:tcPr>
          <w:p w14:paraId="1AFCC25C">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High-</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V</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iscosity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M</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aterials</w:t>
            </w:r>
          </w:p>
        </w:tc>
        <w:tc>
          <w:tcPr>
            <w:tcW w:w="1486" w:type="pct"/>
            <w:shd w:val="clear" w:color="auto" w:fill="FFFFFF"/>
            <w:tcMar>
              <w:top w:w="75" w:type="dxa"/>
              <w:left w:w="120" w:type="dxa"/>
              <w:bottom w:w="75" w:type="dxa"/>
              <w:right w:w="120" w:type="dxa"/>
            </w:tcMar>
            <w:vAlign w:val="center"/>
          </w:tcPr>
          <w:p w14:paraId="5B63C392">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Not suitable</w:t>
            </w:r>
          </w:p>
        </w:tc>
        <w:tc>
          <w:tcPr>
            <w:tcW w:w="1249" w:type="pct"/>
            <w:shd w:val="clear" w:color="auto" w:fill="FFFFFF"/>
            <w:tcMar>
              <w:top w:w="75" w:type="dxa"/>
              <w:left w:w="120" w:type="dxa"/>
              <w:bottom w:w="75" w:type="dxa"/>
              <w:right w:w="120" w:type="dxa"/>
            </w:tcMar>
            <w:vAlign w:val="center"/>
          </w:tcPr>
          <w:p w14:paraId="3370B2CF">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Not suitable</w:t>
            </w:r>
          </w:p>
        </w:tc>
        <w:tc>
          <w:tcPr>
            <w:tcW w:w="1251" w:type="pct"/>
            <w:shd w:val="clear" w:color="auto" w:fill="FFFFFF"/>
            <w:tcMar>
              <w:top w:w="75" w:type="dxa"/>
              <w:left w:w="120" w:type="dxa"/>
              <w:bottom w:w="75" w:type="dxa"/>
              <w:right w:w="0" w:type="dxa"/>
            </w:tcMar>
            <w:vAlign w:val="center"/>
          </w:tcPr>
          <w:p w14:paraId="0A37D8C2">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Suitable</w:t>
            </w:r>
          </w:p>
        </w:tc>
      </w:tr>
      <w:tr w14:paraId="3AE0D7FD">
        <w:tc>
          <w:tcPr>
            <w:tcW w:w="1012" w:type="pct"/>
            <w:shd w:val="clear" w:color="auto" w:fill="FFFFFF"/>
            <w:tcMar>
              <w:top w:w="75" w:type="dxa"/>
              <w:left w:w="0" w:type="dxa"/>
              <w:bottom w:w="75" w:type="dxa"/>
              <w:right w:w="120" w:type="dxa"/>
            </w:tcMar>
            <w:vAlign w:val="center"/>
          </w:tcPr>
          <w:p w14:paraId="62185751">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Main</w:t>
            </w:r>
          </w:p>
          <w:p w14:paraId="77BFA26C">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default" w:ascii="思源黑体 CN Normal" w:hAnsi="思源黑体 CN Normal" w:eastAsia="思源黑体 CN Normal" w:cs="思源黑体 CN Normal"/>
                <w:i w:val="0"/>
                <w:iCs w:val="0"/>
                <w:caps w:val="0"/>
                <w:color w:val="0F1115"/>
                <w:spacing w:val="0"/>
                <w:sz w:val="20"/>
                <w:szCs w:val="20"/>
                <w:lang w:val="en-US"/>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Application </w:t>
            </w:r>
            <w:r>
              <w:rPr>
                <w:rStyle w:val="9"/>
                <w:rFonts w:hint="default" w:ascii="思源黑体 CN Normal" w:hAnsi="思源黑体 CN Normal" w:eastAsia="思源黑体 CN Normal" w:cs="思源黑体 CN Normal"/>
                <w:b/>
                <w:bCs/>
                <w:i w:val="0"/>
                <w:iCs w:val="0"/>
                <w:caps w:val="0"/>
                <w:color w:val="0F1115"/>
                <w:spacing w:val="0"/>
                <w:kern w:val="0"/>
                <w:sz w:val="20"/>
                <w:szCs w:val="20"/>
                <w:lang w:val="en-US" w:eastAsia="zh-CN" w:bidi="ar"/>
              </w:rPr>
              <w:t>S</w:t>
            </w: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cenarios</w:t>
            </w:r>
          </w:p>
        </w:tc>
        <w:tc>
          <w:tcPr>
            <w:tcW w:w="1486" w:type="pct"/>
            <w:shd w:val="clear" w:color="auto" w:fill="FFFFFF"/>
            <w:tcMar>
              <w:top w:w="75" w:type="dxa"/>
              <w:left w:w="120" w:type="dxa"/>
              <w:bottom w:w="75" w:type="dxa"/>
              <w:right w:w="120" w:type="dxa"/>
            </w:tcMar>
            <w:vAlign w:val="center"/>
          </w:tcPr>
          <w:p w14:paraId="627ACB16">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Food: meal replacement powders, seasoning powders, infant rice cereals</w:t>
            </w:r>
          </w:p>
          <w:p w14:paraId="4B94DFC6">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p>
          <w:p w14:paraId="685B1971">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Pharmaceuticals: Traditional Chinese medicine powders, excipients for Western medicines, granules</w:t>
            </w:r>
          </w:p>
          <w:p w14:paraId="04F6A586">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p>
          <w:p w14:paraId="03CE97F1">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Chemicals: Pigments, dyes, catalysts</w:t>
            </w:r>
          </w:p>
          <w:p w14:paraId="599DAEA9">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p>
          <w:p w14:paraId="0552D705">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Animal feed: premixes, additives</w:t>
            </w:r>
          </w:p>
        </w:tc>
        <w:tc>
          <w:tcPr>
            <w:tcW w:w="1249" w:type="pct"/>
            <w:shd w:val="clear" w:color="auto" w:fill="FFFFFF"/>
            <w:tcMar>
              <w:top w:w="75" w:type="dxa"/>
              <w:left w:w="120" w:type="dxa"/>
              <w:bottom w:w="75" w:type="dxa"/>
              <w:right w:w="120" w:type="dxa"/>
            </w:tcMar>
            <w:vAlign w:val="center"/>
          </w:tcPr>
          <w:p w14:paraId="1FDBB6C8">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Food: Grain processing</w:t>
            </w:r>
          </w:p>
          <w:p w14:paraId="3FED8923">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p>
          <w:p w14:paraId="52C13805">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Chemicals: Plastics, pigments, resins, additives</w:t>
            </w:r>
          </w:p>
          <w:p w14:paraId="166AC194">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p>
          <w:p w14:paraId="46E96EE4">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 xml:space="preserve">Animal Feed: Pelleted feed, </w:t>
            </w:r>
            <w:r>
              <w:rPr>
                <w:rFonts w:hint="eastAsia" w:ascii="思源黑体 CN Normal" w:hAnsi="思源黑体 CN Normal" w:eastAsia="思源黑体 CN Normal" w:cs="思源黑体 CN Normal"/>
                <w:i w:val="0"/>
                <w:iCs w:val="0"/>
                <w:caps w:val="0"/>
                <w:color w:val="0F1115"/>
                <w:spacing w:val="0"/>
                <w:sz w:val="20"/>
                <w:szCs w:val="20"/>
                <w:lang w:val="en-US" w:eastAsia="zh-CN"/>
              </w:rPr>
              <w:t xml:space="preserve">fertiliser pellets, </w:t>
            </w:r>
            <w:r>
              <w:rPr>
                <w:rFonts w:hint="eastAsia" w:ascii="思源黑体 CN Normal" w:hAnsi="思源黑体 CN Normal" w:eastAsia="思源黑体 CN Normal" w:cs="思源黑体 CN Normal"/>
                <w:i w:val="0"/>
                <w:iCs w:val="0"/>
                <w:caps w:val="0"/>
                <w:color w:val="0F1115"/>
                <w:spacing w:val="0"/>
                <w:sz w:val="20"/>
                <w:szCs w:val="20"/>
              </w:rPr>
              <w:t>premixes</w:t>
            </w:r>
          </w:p>
        </w:tc>
        <w:tc>
          <w:tcPr>
            <w:tcW w:w="1251" w:type="pct"/>
            <w:shd w:val="clear" w:color="auto" w:fill="FFFFFF"/>
            <w:tcMar>
              <w:top w:w="75" w:type="dxa"/>
              <w:left w:w="120" w:type="dxa"/>
              <w:bottom w:w="75" w:type="dxa"/>
              <w:right w:w="0" w:type="dxa"/>
            </w:tcMar>
            <w:vAlign w:val="center"/>
          </w:tcPr>
          <w:p w14:paraId="464C3EAB">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Food: Meal replacement powders, seasonings, sauces</w:t>
            </w:r>
          </w:p>
          <w:p w14:paraId="708C5ED4">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p>
          <w:p w14:paraId="088C3BDB">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Pharmaceuticals: Traditional Chinese medicine granules, powder blending</w:t>
            </w:r>
          </w:p>
          <w:p w14:paraId="12BEC950">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p>
          <w:p w14:paraId="722D9E32">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Chemicals: Coatings, adhesives, plastic additives</w:t>
            </w:r>
          </w:p>
          <w:p w14:paraId="13700E9A">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p>
          <w:p w14:paraId="749A9D5B">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sz w:val="20"/>
                <w:szCs w:val="20"/>
              </w:rPr>
              <w:t>Building materials: dry-mix mortar, skim coat powder, insulation materials</w:t>
            </w:r>
          </w:p>
        </w:tc>
      </w:tr>
    </w:tbl>
    <w:p w14:paraId="2049EA67">
      <w:pPr>
        <w:widowControl w:val="0"/>
        <w:numPr>
          <w:ilvl w:val="0"/>
          <w:numId w:val="0"/>
        </w:numPr>
        <w:bidi w:val="0"/>
        <w:jc w:val="both"/>
        <w:rPr>
          <w:rStyle w:val="8"/>
          <w:rFonts w:hint="eastAsia"/>
          <w:lang w:val="en-US" w:eastAsia="zh-CN"/>
        </w:rPr>
      </w:pPr>
    </w:p>
    <w:p w14:paraId="20392CBE">
      <w:pPr>
        <w:widowControl w:val="0"/>
        <w:numPr>
          <w:ilvl w:val="0"/>
          <w:numId w:val="0"/>
        </w:numPr>
        <w:bidi w:val="0"/>
        <w:jc w:val="both"/>
        <w:rPr>
          <w:rStyle w:val="8"/>
          <w:rFonts w:hint="eastAsia"/>
          <w:lang w:val="en-US" w:eastAsia="zh-CN"/>
        </w:rPr>
      </w:pPr>
    </w:p>
    <w:p w14:paraId="238E056E">
      <w:pPr>
        <w:widowControl w:val="0"/>
        <w:numPr>
          <w:ilvl w:val="0"/>
          <w:numId w:val="0"/>
        </w:numPr>
        <w:bidi w:val="0"/>
        <w:jc w:val="both"/>
        <w:rPr>
          <w:rStyle w:val="8"/>
          <w:rFonts w:hint="eastAsia"/>
          <w:lang w:val="en-US" w:eastAsia="zh-CN"/>
        </w:rPr>
      </w:pPr>
    </w:p>
    <w:p w14:paraId="5583EBB0">
      <w:pPr>
        <w:widowControl w:val="0"/>
        <w:numPr>
          <w:ilvl w:val="0"/>
          <w:numId w:val="0"/>
        </w:numPr>
        <w:bidi w:val="0"/>
        <w:jc w:val="both"/>
        <w:rPr>
          <w:rStyle w:val="8"/>
          <w:rFonts w:hint="eastAsia"/>
          <w:lang w:val="en-US" w:eastAsia="zh-CN"/>
        </w:rPr>
      </w:pPr>
    </w:p>
    <w:p w14:paraId="46C6CD07">
      <w:pPr>
        <w:widowControl w:val="0"/>
        <w:numPr>
          <w:ilvl w:val="0"/>
          <w:numId w:val="0"/>
        </w:numPr>
        <w:bidi w:val="0"/>
        <w:jc w:val="both"/>
        <w:rPr>
          <w:rStyle w:val="8"/>
          <w:rFonts w:hint="eastAsia"/>
          <w:lang w:val="en-US" w:eastAsia="zh-CN"/>
        </w:rPr>
      </w:pPr>
    </w:p>
    <w:p w14:paraId="3A3AB3EE">
      <w:pPr>
        <w:widowControl w:val="0"/>
        <w:numPr>
          <w:ilvl w:val="0"/>
          <w:numId w:val="0"/>
        </w:numPr>
        <w:bidi w:val="0"/>
        <w:jc w:val="both"/>
        <w:rPr>
          <w:rStyle w:val="8"/>
          <w:rFonts w:hint="eastAsia"/>
          <w:lang w:val="en-US" w:eastAsia="zh-CN"/>
        </w:rPr>
      </w:pPr>
    </w:p>
    <w:p w14:paraId="115B6E4D">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Challenges in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M</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ixing and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olutions</w:t>
      </w:r>
    </w:p>
    <w:p w14:paraId="4C19013B">
      <w:pPr>
        <w:numPr>
          <w:ilvl w:val="0"/>
          <w:numId w:val="0"/>
        </w:numPr>
        <w:bidi w:val="0"/>
        <w:ind w:leftChars="0"/>
        <w:rPr>
          <w:rStyle w:val="8"/>
          <w:rFonts w:hint="eastAsia"/>
          <w:lang w:val="en-US" w:eastAsia="zh-CN"/>
        </w:rPr>
      </w:pPr>
    </w:p>
    <w:tbl>
      <w:tblPr>
        <w:tblStyle w:val="6"/>
        <w:tblW w:w="8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72"/>
        <w:gridCol w:w="2192"/>
        <w:gridCol w:w="3647"/>
      </w:tblGrid>
      <w:tr w14:paraId="5FF34272">
        <w:trPr>
          <w:tblHeader/>
        </w:trPr>
        <w:tc>
          <w:tcPr>
            <w:tcW w:w="2572" w:type="dxa"/>
            <w:tcBorders>
              <w:top w:val="nil"/>
            </w:tcBorders>
            <w:shd w:val="clear" w:color="auto" w:fill="D4F4F1" w:themeFill="accent5" w:themeFillTint="32"/>
            <w:tcMar>
              <w:top w:w="75" w:type="dxa"/>
              <w:left w:w="0" w:type="dxa"/>
              <w:bottom w:w="75" w:type="dxa"/>
              <w:right w:w="120" w:type="dxa"/>
            </w:tcMar>
            <w:vAlign w:val="center"/>
          </w:tcPr>
          <w:p w14:paraId="0A4E033E">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Mixing Challenges</w:t>
            </w:r>
          </w:p>
        </w:tc>
        <w:tc>
          <w:tcPr>
            <w:tcW w:w="2192" w:type="dxa"/>
            <w:tcBorders>
              <w:top w:val="nil"/>
            </w:tcBorders>
            <w:shd w:val="clear" w:color="auto" w:fill="D4F4F1" w:themeFill="accent5" w:themeFillTint="32"/>
            <w:tcMar>
              <w:top w:w="75" w:type="dxa"/>
              <w:left w:w="120" w:type="dxa"/>
              <w:bottom w:w="75" w:type="dxa"/>
              <w:right w:w="120" w:type="dxa"/>
            </w:tcMar>
            <w:vAlign w:val="center"/>
          </w:tcPr>
          <w:p w14:paraId="0C40A5E1">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Recommended DoDoShark Models</w:t>
            </w:r>
          </w:p>
        </w:tc>
        <w:tc>
          <w:tcPr>
            <w:tcW w:w="3647" w:type="dxa"/>
            <w:tcBorders>
              <w:top w:val="nil"/>
            </w:tcBorders>
            <w:shd w:val="clear" w:color="auto" w:fill="D4F4F1" w:themeFill="accent5" w:themeFillTint="32"/>
            <w:tcMar>
              <w:top w:w="75" w:type="dxa"/>
              <w:left w:w="120" w:type="dxa"/>
              <w:bottom w:w="75" w:type="dxa"/>
              <w:right w:w="120" w:type="dxa"/>
            </w:tcMar>
            <w:vAlign w:val="center"/>
          </w:tcPr>
          <w:p w14:paraId="72AF43B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Technical Solutions</w:t>
            </w:r>
          </w:p>
        </w:tc>
      </w:tr>
      <w:tr w14:paraId="663CD62B">
        <w:tc>
          <w:tcPr>
            <w:tcW w:w="2572" w:type="dxa"/>
            <w:shd w:val="clear" w:color="auto" w:fill="FFFFFF"/>
            <w:tcMar>
              <w:top w:w="75" w:type="dxa"/>
              <w:left w:w="0" w:type="dxa"/>
              <w:bottom w:w="75" w:type="dxa"/>
              <w:right w:w="120" w:type="dxa"/>
            </w:tcMar>
            <w:vAlign w:val="center"/>
          </w:tcPr>
          <w:p w14:paraId="1147268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Significant difference in specific gravity leading to segregation</w:t>
            </w:r>
          </w:p>
        </w:tc>
        <w:tc>
          <w:tcPr>
            <w:tcW w:w="2192" w:type="dxa"/>
            <w:shd w:val="clear" w:color="auto" w:fill="FFFFFF"/>
            <w:tcMar>
              <w:top w:w="75" w:type="dxa"/>
              <w:left w:w="120" w:type="dxa"/>
              <w:bottom w:w="75" w:type="dxa"/>
              <w:right w:w="120" w:type="dxa"/>
            </w:tcMar>
            <w:vAlign w:val="center"/>
          </w:tcPr>
          <w:p w14:paraId="07E6639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Twin-cone drum mixer</w:t>
            </w:r>
          </w:p>
        </w:tc>
        <w:tc>
          <w:tcPr>
            <w:tcW w:w="3647" w:type="dxa"/>
            <w:shd w:val="clear" w:color="auto" w:fill="FFFFFF"/>
            <w:tcMar>
              <w:top w:w="75" w:type="dxa"/>
              <w:left w:w="120" w:type="dxa"/>
              <w:bottom w:w="75" w:type="dxa"/>
              <w:right w:w="0" w:type="dxa"/>
            </w:tcMar>
            <w:vAlign w:val="center"/>
          </w:tcPr>
          <w:p w14:paraId="22188C2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Gravity diffusion mixing, no mechanical shearing, no segregation</w:t>
            </w:r>
          </w:p>
        </w:tc>
      </w:tr>
      <w:tr w14:paraId="3D433665">
        <w:tc>
          <w:tcPr>
            <w:tcW w:w="2572" w:type="dxa"/>
            <w:shd w:val="clear" w:color="auto" w:fill="FFFFFF"/>
            <w:tcMar>
              <w:top w:w="75" w:type="dxa"/>
              <w:left w:w="0" w:type="dxa"/>
              <w:bottom w:w="75" w:type="dxa"/>
              <w:right w:w="120" w:type="dxa"/>
            </w:tcMar>
            <w:vAlign w:val="center"/>
          </w:tcPr>
          <w:p w14:paraId="47B923C2">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Significant difference in proportions</w:t>
            </w:r>
          </w:p>
          <w:p w14:paraId="31B40D5C">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(1:10,000)</w:t>
            </w:r>
          </w:p>
        </w:tc>
        <w:tc>
          <w:tcPr>
            <w:tcW w:w="2192" w:type="dxa"/>
            <w:shd w:val="clear" w:color="auto" w:fill="FFFFFF"/>
            <w:tcMar>
              <w:top w:w="75" w:type="dxa"/>
              <w:left w:w="120" w:type="dxa"/>
              <w:bottom w:w="75" w:type="dxa"/>
              <w:right w:w="120" w:type="dxa"/>
            </w:tcMar>
            <w:vAlign w:val="center"/>
          </w:tcPr>
          <w:p w14:paraId="4EDA053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Twin-screw mixer</w:t>
            </w:r>
          </w:p>
        </w:tc>
        <w:tc>
          <w:tcPr>
            <w:tcW w:w="3647" w:type="dxa"/>
            <w:shd w:val="clear" w:color="auto" w:fill="FFFFFF"/>
            <w:tcMar>
              <w:top w:w="75" w:type="dxa"/>
              <w:left w:w="120" w:type="dxa"/>
              <w:bottom w:w="75" w:type="dxa"/>
              <w:right w:w="0" w:type="dxa"/>
            </w:tcMar>
            <w:vAlign w:val="center"/>
          </w:tcPr>
          <w:p w14:paraId="73832C8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Powerful convective shearing, uniform dispersion of trace components</w:t>
            </w:r>
          </w:p>
        </w:tc>
      </w:tr>
      <w:tr w14:paraId="3A63B3A8">
        <w:tc>
          <w:tcPr>
            <w:tcW w:w="2572" w:type="dxa"/>
            <w:shd w:val="clear" w:color="auto" w:fill="FFFFFF"/>
            <w:tcMar>
              <w:top w:w="75" w:type="dxa"/>
              <w:left w:w="0" w:type="dxa"/>
              <w:bottom w:w="75" w:type="dxa"/>
              <w:right w:w="120" w:type="dxa"/>
            </w:tcMar>
            <w:vAlign w:val="center"/>
          </w:tcPr>
          <w:p w14:paraId="6B46D891">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Powder-liquid mixing prone to agglomeration</w:t>
            </w:r>
          </w:p>
        </w:tc>
        <w:tc>
          <w:tcPr>
            <w:tcW w:w="2192" w:type="dxa"/>
            <w:shd w:val="clear" w:color="auto" w:fill="FFFFFF"/>
            <w:tcMar>
              <w:top w:w="75" w:type="dxa"/>
              <w:left w:w="120" w:type="dxa"/>
              <w:bottom w:w="75" w:type="dxa"/>
              <w:right w:w="120" w:type="dxa"/>
            </w:tcMar>
            <w:vAlign w:val="center"/>
          </w:tcPr>
          <w:p w14:paraId="25D486BB">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Tumbler mixer (with liquid spraying)</w:t>
            </w:r>
          </w:p>
        </w:tc>
        <w:tc>
          <w:tcPr>
            <w:tcW w:w="3647" w:type="dxa"/>
            <w:shd w:val="clear" w:color="auto" w:fill="FFFFFF"/>
            <w:tcMar>
              <w:top w:w="75" w:type="dxa"/>
              <w:left w:w="120" w:type="dxa"/>
              <w:bottom w:w="75" w:type="dxa"/>
              <w:right w:w="0" w:type="dxa"/>
            </w:tcMar>
            <w:vAlign w:val="center"/>
          </w:tcPr>
          <w:p w14:paraId="4461780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Atomised spraying + tumbling mixing, uniform dispersion of liquids</w:t>
            </w:r>
          </w:p>
        </w:tc>
      </w:tr>
      <w:tr w14:paraId="2B9A1D3B">
        <w:tc>
          <w:tcPr>
            <w:tcW w:w="2572" w:type="dxa"/>
            <w:shd w:val="clear" w:color="auto" w:fill="FFFFFF"/>
            <w:tcMar>
              <w:top w:w="75" w:type="dxa"/>
              <w:left w:w="0" w:type="dxa"/>
              <w:bottom w:w="75" w:type="dxa"/>
              <w:right w:w="120" w:type="dxa"/>
            </w:tcMar>
            <w:vAlign w:val="center"/>
          </w:tcPr>
          <w:p w14:paraId="07966B2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Viscous powders tend to stick to the walls</w:t>
            </w:r>
          </w:p>
        </w:tc>
        <w:tc>
          <w:tcPr>
            <w:tcW w:w="2192" w:type="dxa"/>
            <w:shd w:val="clear" w:color="auto" w:fill="FFFFFF"/>
            <w:tcMar>
              <w:top w:w="75" w:type="dxa"/>
              <w:left w:w="120" w:type="dxa"/>
              <w:bottom w:w="75" w:type="dxa"/>
              <w:right w:w="120" w:type="dxa"/>
            </w:tcMar>
            <w:vAlign w:val="center"/>
          </w:tcPr>
          <w:p w14:paraId="4B0BF0C4">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Twin-screw mixer</w:t>
            </w:r>
          </w:p>
        </w:tc>
        <w:tc>
          <w:tcPr>
            <w:tcW w:w="3647" w:type="dxa"/>
            <w:shd w:val="clear" w:color="auto" w:fill="FFFFFF"/>
            <w:tcMar>
              <w:top w:w="75" w:type="dxa"/>
              <w:left w:w="120" w:type="dxa"/>
              <w:bottom w:w="75" w:type="dxa"/>
              <w:right w:w="0" w:type="dxa"/>
            </w:tcMar>
            <w:vAlign w:val="center"/>
          </w:tcPr>
          <w:p w14:paraId="565C0027">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Screw blades designed to scrape the walls, reducing material accumulation in dead corners</w:t>
            </w:r>
          </w:p>
        </w:tc>
      </w:tr>
      <w:tr w14:paraId="58FD1F74">
        <w:tc>
          <w:tcPr>
            <w:tcW w:w="2572" w:type="dxa"/>
            <w:shd w:val="clear" w:color="auto" w:fill="FFFFFF"/>
            <w:tcMar>
              <w:top w:w="75" w:type="dxa"/>
              <w:left w:w="0" w:type="dxa"/>
              <w:bottom w:w="75" w:type="dxa"/>
              <w:right w:w="120" w:type="dxa"/>
            </w:tcMar>
            <w:vAlign w:val="center"/>
          </w:tcPr>
          <w:p w14:paraId="624980F2">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Heat-sensitive materials</w:t>
            </w:r>
          </w:p>
        </w:tc>
        <w:tc>
          <w:tcPr>
            <w:tcW w:w="2192" w:type="dxa"/>
            <w:shd w:val="clear" w:color="auto" w:fill="FFFFFF"/>
            <w:tcMar>
              <w:top w:w="75" w:type="dxa"/>
              <w:left w:w="120" w:type="dxa"/>
              <w:bottom w:w="75" w:type="dxa"/>
              <w:right w:w="120" w:type="dxa"/>
            </w:tcMar>
            <w:vAlign w:val="center"/>
          </w:tcPr>
          <w:p w14:paraId="01621B27">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Twin-cone drum mixer</w:t>
            </w:r>
          </w:p>
        </w:tc>
        <w:tc>
          <w:tcPr>
            <w:tcW w:w="3647" w:type="dxa"/>
            <w:shd w:val="clear" w:color="auto" w:fill="FFFFFF"/>
            <w:tcMar>
              <w:top w:w="75" w:type="dxa"/>
              <w:left w:w="120" w:type="dxa"/>
              <w:bottom w:w="75" w:type="dxa"/>
              <w:right w:w="0" w:type="dxa"/>
            </w:tcMar>
            <w:vAlign w:val="center"/>
          </w:tcPr>
          <w:p w14:paraId="7FE116F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Gentle mixing, with optional jacket cooling</w:t>
            </w:r>
          </w:p>
        </w:tc>
      </w:tr>
      <w:tr w14:paraId="7EF3B036">
        <w:tc>
          <w:tcPr>
            <w:tcW w:w="2572" w:type="dxa"/>
            <w:shd w:val="clear" w:color="auto" w:fill="FFFFFF"/>
            <w:tcMar>
              <w:top w:w="75" w:type="dxa"/>
              <w:left w:w="0" w:type="dxa"/>
              <w:bottom w:w="75" w:type="dxa"/>
              <w:right w:w="120" w:type="dxa"/>
            </w:tcMar>
            <w:vAlign w:val="center"/>
          </w:tcPr>
          <w:p w14:paraId="33B71DE2">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Electrostatic adsorption</w:t>
            </w:r>
          </w:p>
        </w:tc>
        <w:tc>
          <w:tcPr>
            <w:tcW w:w="2192" w:type="dxa"/>
            <w:shd w:val="clear" w:color="auto" w:fill="FFFFFF"/>
            <w:tcMar>
              <w:top w:w="75" w:type="dxa"/>
              <w:left w:w="120" w:type="dxa"/>
              <w:bottom w:w="75" w:type="dxa"/>
              <w:right w:w="120" w:type="dxa"/>
            </w:tcMar>
            <w:vAlign w:val="center"/>
          </w:tcPr>
          <w:p w14:paraId="5BA8F9B7">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Grounding available across the entire range</w:t>
            </w:r>
          </w:p>
        </w:tc>
        <w:tc>
          <w:tcPr>
            <w:tcW w:w="3647" w:type="dxa"/>
            <w:shd w:val="clear" w:color="auto" w:fill="FFFFFF"/>
            <w:tcMar>
              <w:top w:w="75" w:type="dxa"/>
              <w:left w:w="120" w:type="dxa"/>
              <w:bottom w:w="75" w:type="dxa"/>
              <w:right w:w="0" w:type="dxa"/>
            </w:tcMar>
            <w:vAlign w:val="center"/>
          </w:tcPr>
          <w:p w14:paraId="64756F5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Anti-static design, with optional anti-static coating</w:t>
            </w:r>
          </w:p>
        </w:tc>
      </w:tr>
      <w:tr w14:paraId="55E3177E">
        <w:tc>
          <w:tcPr>
            <w:tcW w:w="2572" w:type="dxa"/>
            <w:shd w:val="clear" w:color="auto" w:fill="FFFFFF"/>
            <w:tcMar>
              <w:top w:w="75" w:type="dxa"/>
              <w:left w:w="0" w:type="dxa"/>
              <w:bottom w:w="75" w:type="dxa"/>
              <w:right w:w="120" w:type="dxa"/>
            </w:tcMar>
            <w:vAlign w:val="center"/>
          </w:tcPr>
          <w:p w14:paraId="550A44EC">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High cleanliness requirements</w:t>
            </w:r>
          </w:p>
        </w:tc>
        <w:tc>
          <w:tcPr>
            <w:tcW w:w="2192" w:type="dxa"/>
            <w:shd w:val="clear" w:color="auto" w:fill="FFFFFF"/>
            <w:tcMar>
              <w:top w:w="75" w:type="dxa"/>
              <w:left w:w="120" w:type="dxa"/>
              <w:bottom w:w="75" w:type="dxa"/>
              <w:right w:w="120" w:type="dxa"/>
            </w:tcMar>
            <w:vAlign w:val="center"/>
          </w:tcPr>
          <w:p w14:paraId="655A7892">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Full range of SUS304/316L</w:t>
            </w:r>
          </w:p>
        </w:tc>
        <w:tc>
          <w:tcPr>
            <w:tcW w:w="3647" w:type="dxa"/>
            <w:shd w:val="clear" w:color="auto" w:fill="FFFFFF"/>
            <w:tcMar>
              <w:top w:w="75" w:type="dxa"/>
              <w:left w:w="120" w:type="dxa"/>
              <w:bottom w:w="75" w:type="dxa"/>
              <w:right w:w="0" w:type="dxa"/>
            </w:tcMar>
            <w:vAlign w:val="center"/>
          </w:tcPr>
          <w:p w14:paraId="481A1563">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Mirror-polished, seamless design, easy to clean</w:t>
            </w:r>
          </w:p>
        </w:tc>
      </w:tr>
    </w:tbl>
    <w:p w14:paraId="635F75AC">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47F267F8">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448F5E92">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E51C4D2">
        <w:tc>
          <w:tcPr>
            <w:tcW w:w="4261" w:type="dxa"/>
            <w:vAlign w:val="center"/>
          </w:tcPr>
          <w:p w14:paraId="0AFAE6B6">
            <w:pPr>
              <w:bidi w:val="0"/>
              <w:jc w:val="cente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End-to-</w:t>
            </w:r>
            <w:r>
              <w:rPr>
                <w:rStyle w:val="9"/>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t>E</w:t>
            </w: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nd </w:t>
            </w:r>
            <w:r>
              <w:rPr>
                <w:rStyle w:val="9"/>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t>D</w:t>
            </w: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elivery</w:t>
            </w:r>
          </w:p>
          <w:p w14:paraId="0B7668CF">
            <w:pPr>
              <w:bidi w:val="0"/>
              <w:jc w:val="cente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From design and manufacturing to installation and commissioning, Dousha takes sole responsibility to ensure the system is perfectly integrated and operates efficiently.</w:t>
            </w:r>
          </w:p>
          <w:p w14:paraId="13D24453">
            <w:pPr>
              <w:bidi w:val="0"/>
              <w:jc w:val="center"/>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c>
          <w:tcPr>
            <w:tcW w:w="4261" w:type="dxa"/>
            <w:vAlign w:val="center"/>
          </w:tcPr>
          <w:p w14:paraId="4E9E8143">
            <w:pPr>
              <w:bidi w:val="0"/>
              <w:jc w:val="cente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Sustainable Upgrades</w:t>
            </w:r>
          </w:p>
          <w:p w14:paraId="6B6E79CB">
            <w:pPr>
              <w:bidi w:val="0"/>
              <w:jc w:val="cente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Modular design allows for flexible expansion of capacity or the addition of functional modules as your business grows.</w:t>
            </w:r>
          </w:p>
          <w:p w14:paraId="1BDB6B60">
            <w:pPr>
              <w:bidi w:val="0"/>
              <w:jc w:val="center"/>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r>
    </w:tbl>
    <w:p w14:paraId="7EC63730">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76681F1A">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5D8785D1">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2F79FEA">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Success Stories</w:t>
      </w:r>
    </w:p>
    <w:p w14:paraId="0A552C27">
      <w:pPr>
        <w:bidi w:val="0"/>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p>
    <w:p w14:paraId="07614E14">
      <w:pPr>
        <w:keepNext w:val="0"/>
        <w:keepLines w:val="0"/>
        <w:pageBreakBefore w:val="0"/>
        <w:widowControl w:val="0"/>
        <w:kinsoku/>
        <w:wordWrap/>
        <w:overflowPunct/>
        <w:topLinePunct w:val="0"/>
        <w:autoSpaceDE/>
        <w:autoSpaceDN/>
        <w:bidi w:val="0"/>
        <w:adjustRightInd w:val="0"/>
        <w:snapToGrid w:val="0"/>
        <w:textAlignment w:val="auto"/>
        <w:rPr>
          <w:rFonts w:hint="default"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b/>
          <w:bCs/>
          <w:sz w:val="32"/>
          <w:szCs w:val="40"/>
          <w:lang w:val="en-US" w:eastAsia="zh-CN"/>
        </w:rPr>
        <w:t xml:space="preserve"> A </w:t>
      </w:r>
      <w:r>
        <w:rPr>
          <w:rFonts w:hint="default" w:ascii="思源黑体 CN Light" w:hAnsi="思源黑体 CN Light" w:eastAsia="思源黑体 CN Light" w:cs="思源黑体 CN Light"/>
          <w:b/>
          <w:bCs/>
          <w:sz w:val="32"/>
          <w:szCs w:val="40"/>
          <w:lang w:val="en-US" w:eastAsia="zh-CN"/>
        </w:rPr>
        <w:t>F</w:t>
      </w:r>
      <w:r>
        <w:rPr>
          <w:rFonts w:hint="eastAsia" w:ascii="思源黑体 CN Light" w:hAnsi="思源黑体 CN Light" w:eastAsia="思源黑体 CN Light" w:cs="思源黑体 CN Light"/>
          <w:b/>
          <w:bCs/>
          <w:sz w:val="32"/>
          <w:szCs w:val="40"/>
          <w:lang w:val="en-US" w:eastAsia="zh-CN"/>
        </w:rPr>
        <w:t xml:space="preserve">ood </w:t>
      </w:r>
      <w:r>
        <w:rPr>
          <w:rFonts w:hint="default" w:ascii="思源黑体 CN Light" w:hAnsi="思源黑体 CN Light" w:eastAsia="思源黑体 CN Light" w:cs="思源黑体 CN Light"/>
          <w:b/>
          <w:bCs/>
          <w:sz w:val="32"/>
          <w:szCs w:val="40"/>
          <w:lang w:val="en-US" w:eastAsia="zh-CN"/>
        </w:rPr>
        <w:t>P</w:t>
      </w:r>
      <w:r>
        <w:rPr>
          <w:rFonts w:hint="eastAsia" w:ascii="思源黑体 CN Light" w:hAnsi="思源黑体 CN Light" w:eastAsia="思源黑体 CN Light" w:cs="思源黑体 CN Light"/>
          <w:b/>
          <w:bCs/>
          <w:sz w:val="32"/>
          <w:szCs w:val="40"/>
          <w:lang w:val="en-US" w:eastAsia="zh-CN"/>
        </w:rPr>
        <w:t xml:space="preserve">rocessing </w:t>
      </w:r>
      <w:r>
        <w:rPr>
          <w:rFonts w:hint="default" w:ascii="思源黑体 CN Light" w:hAnsi="思源黑体 CN Light" w:eastAsia="思源黑体 CN Light" w:cs="思源黑体 CN Light"/>
          <w:b/>
          <w:bCs/>
          <w:sz w:val="32"/>
          <w:szCs w:val="40"/>
          <w:lang w:val="en-US" w:eastAsia="zh-CN"/>
        </w:rPr>
        <w:t>E</w:t>
      </w:r>
      <w:bookmarkStart w:id="0" w:name="_GoBack"/>
      <w:bookmarkEnd w:id="0"/>
      <w:r>
        <w:rPr>
          <w:rFonts w:hint="eastAsia" w:ascii="思源黑体 CN Light" w:hAnsi="思源黑体 CN Light" w:eastAsia="思源黑体 CN Light" w:cs="思源黑体 CN Light"/>
          <w:b/>
          <w:bCs/>
          <w:sz w:val="32"/>
          <w:szCs w:val="40"/>
          <w:lang w:val="en-US" w:eastAsia="zh-CN"/>
        </w:rPr>
        <w:t>nterprise in Bozhou, Anhui</w:t>
      </w:r>
    </w:p>
    <w:p w14:paraId="7146A44C">
      <w:pPr>
        <w:keepNext w:val="0"/>
        <w:keepLines w:val="0"/>
        <w:pageBreakBefore w:val="0"/>
        <w:widowControl w:val="0"/>
        <w:kinsoku/>
        <w:wordWrap/>
        <w:overflowPunct/>
        <w:topLinePunct w:val="0"/>
        <w:autoSpaceDE/>
        <w:autoSpaceDN/>
        <w:bidi w:val="0"/>
        <w:adjustRightInd w:val="0"/>
        <w:snapToGrid w:val="0"/>
        <w:textAlignment w:val="auto"/>
        <w:rPr>
          <w:rFonts w:hint="default"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Address: Bozhou, Anhui</w:t>
      </w:r>
    </w:p>
    <w:p w14:paraId="20AADF99">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Client Requirements: Production of a blended nutritional meal replacement powder, requiring the thorough and uniform mixing of various whole grain and cereal powders with certain additives, in batches of 150kg.</w:t>
      </w:r>
    </w:p>
    <w:p w14:paraId="0647DC92">
      <w:pPr>
        <w:keepNext w:val="0"/>
        <w:keepLines w:val="0"/>
        <w:pageBreakBefore w:val="0"/>
        <w:widowControl w:val="0"/>
        <w:kinsoku/>
        <w:wordWrap/>
        <w:overflowPunct/>
        <w:topLinePunct w:val="0"/>
        <w:autoSpaceDE/>
        <w:autoSpaceDN/>
        <w:bidi w:val="0"/>
        <w:adjustRightInd w:val="0"/>
        <w:snapToGrid w:val="0"/>
        <w:textAlignment w:val="auto"/>
        <w:rPr>
          <w:rFonts w:hint="default" w:ascii="思源黑体 CN Light" w:hAnsi="思源黑体 CN Light" w:eastAsia="思源黑体 CN Light" w:cs="思源黑体 CN Light"/>
          <w:lang w:val="en-US" w:eastAsia="zh-CN"/>
        </w:rPr>
      </w:pPr>
    </w:p>
    <w:p w14:paraId="46C48FAA">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w:t>
      </w:r>
      <w:r>
        <w:rPr>
          <w:rFonts w:hint="default" w:ascii="思源黑体 CN Light" w:hAnsi="思源黑体 CN Light" w:eastAsia="思源黑体 CN Light" w:cs="思源黑体 CN Light"/>
          <w:lang w:val="en-US" w:eastAsia="zh-CN"/>
        </w:rPr>
        <w:t>DoDoShark</w:t>
      </w:r>
      <w:r>
        <w:rPr>
          <w:rFonts w:hint="eastAsia" w:ascii="思源黑体 CN Light" w:hAnsi="思源黑体 CN Light" w:eastAsia="思源黑体 CN Light" w:cs="思源黑体 CN Light"/>
          <w:lang w:val="en-US" w:eastAsia="zh-CN"/>
        </w:rPr>
        <w:t xml:space="preserve"> Solution:</w:t>
      </w:r>
    </w:p>
    <w:p w14:paraId="41D6F9EB">
      <w:pPr>
        <w:keepNext w:val="0"/>
        <w:keepLines w:val="0"/>
        <w:pageBreakBefore w:val="0"/>
        <w:widowControl w:val="0"/>
        <w:numPr>
          <w:ilvl w:val="0"/>
          <w:numId w:val="2"/>
        </w:numPr>
        <w:kinsoku/>
        <w:wordWrap/>
        <w:overflowPunct/>
        <w:topLinePunct w:val="0"/>
        <w:autoSpaceDE/>
        <w:autoSpaceDN/>
        <w:bidi w:val="0"/>
        <w:adjustRightInd w:val="0"/>
        <w:snapToGrid w:val="0"/>
        <w:ind w:left="420" w:leftChars="0" w:hanging="420" w:firstLineChars="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w:t>
      </w:r>
      <w:r>
        <w:rPr>
          <w:rFonts w:hint="default" w:ascii="思源黑体 CN Light" w:hAnsi="思源黑体 CN Light" w:eastAsia="思源黑体 CN Light" w:cs="思源黑体 CN Light"/>
          <w:lang w:val="en-US" w:eastAsia="zh-CN"/>
        </w:rPr>
        <w:t>DoDoShark</w:t>
      </w:r>
      <w:r>
        <w:rPr>
          <w:rFonts w:hint="eastAsia" w:ascii="思源黑体 CN Light" w:hAnsi="思源黑体 CN Light" w:eastAsia="思源黑体 CN Light" w:cs="思源黑体 CN Light"/>
          <w:lang w:val="en-US" w:eastAsia="zh-CN"/>
        </w:rPr>
        <w:t xml:space="preserve"> High-Capacity Twin-Cone Drum Mixer, 400L model</w:t>
      </w:r>
    </w:p>
    <w:p w14:paraId="280DB630">
      <w:pPr>
        <w:keepNext w:val="0"/>
        <w:keepLines w:val="0"/>
        <w:pageBreakBefore w:val="0"/>
        <w:widowControl w:val="0"/>
        <w:numPr>
          <w:ilvl w:val="0"/>
          <w:numId w:val="3"/>
        </w:numPr>
        <w:kinsoku/>
        <w:wordWrap/>
        <w:overflowPunct/>
        <w:topLinePunct w:val="0"/>
        <w:autoSpaceDE/>
        <w:autoSpaceDN/>
        <w:bidi w:val="0"/>
        <w:adjustRightInd w:val="0"/>
        <w:snapToGrid w:val="0"/>
        <w:ind w:left="420" w:leftChars="0" w:hanging="420" w:firstLineChars="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Batch capacity: 150kg</w:t>
      </w:r>
    </w:p>
    <w:p w14:paraId="6D1C26B1">
      <w:pPr>
        <w:keepNext w:val="0"/>
        <w:keepLines w:val="0"/>
        <w:pageBreakBefore w:val="0"/>
        <w:widowControl w:val="0"/>
        <w:numPr>
          <w:ilvl w:val="0"/>
          <w:numId w:val="3"/>
        </w:numPr>
        <w:kinsoku/>
        <w:wordWrap/>
        <w:overflowPunct/>
        <w:topLinePunct w:val="0"/>
        <w:autoSpaceDE/>
        <w:autoSpaceDN/>
        <w:bidi w:val="0"/>
        <w:adjustRightInd w:val="0"/>
        <w:snapToGrid w:val="0"/>
        <w:ind w:left="420" w:leftChars="0" w:hanging="420" w:firstLineChars="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Uniform mixing within 15 minutes</w:t>
      </w:r>
    </w:p>
    <w:p w14:paraId="317D0C94">
      <w:pPr>
        <w:keepNext w:val="0"/>
        <w:keepLines w:val="0"/>
        <w:pageBreakBefore w:val="0"/>
        <w:widowControl w:val="0"/>
        <w:numPr>
          <w:ilvl w:val="0"/>
          <w:numId w:val="3"/>
        </w:numPr>
        <w:kinsoku/>
        <w:wordWrap/>
        <w:overflowPunct/>
        <w:topLinePunct w:val="0"/>
        <w:autoSpaceDE/>
        <w:autoSpaceDN/>
        <w:bidi w:val="0"/>
        <w:adjustRightInd w:val="0"/>
        <w:snapToGrid w:val="0"/>
        <w:ind w:left="420" w:leftChars="0" w:hanging="420" w:firstLineChars="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The client has subsequently purchased five mixers for use with different formulations.</w:t>
      </w:r>
    </w:p>
    <w:p w14:paraId="2CFA9162">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p>
    <w:p w14:paraId="6855E51E">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Summary:</w:t>
      </w:r>
    </w:p>
    <w:p w14:paraId="77CCCA95">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w:t>
      </w:r>
      <w:r>
        <w:rPr>
          <w:rFonts w:hint="default" w:ascii="思源黑体 CN Light" w:hAnsi="思源黑体 CN Light" w:eastAsia="思源黑体 CN Light" w:cs="思源黑体 CN Light"/>
          <w:lang w:val="en-US" w:eastAsia="zh-CN"/>
        </w:rPr>
        <w:t>DoDoShark</w:t>
      </w:r>
      <w:r>
        <w:rPr>
          <w:rFonts w:hint="eastAsia" w:ascii="思源黑体 CN Light" w:hAnsi="思源黑体 CN Light" w:eastAsia="思源黑体 CN Light" w:cs="思源黑体 CN Light"/>
          <w:lang w:val="en-US" w:eastAsia="zh-CN"/>
        </w:rPr>
        <w:t xml:space="preserve"> customised a high-capacity mixer for a food enterprise in Bozhou, Anhui. It can mix 150kg of meal replacement powder uniformly in 15 minutes, offering high efficiency and stability. The client has purchased a further five units to meet production demands for multiple formulations.</w:t>
      </w:r>
    </w:p>
    <w:p w14:paraId="2E8A18CF">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1AF4D6D4">
      <w:pPr>
        <w:bidi w:val="0"/>
        <w:jc w:val="cente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M</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ore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C</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ase</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s</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w:t>
      </w:r>
    </w:p>
    <w:p w14:paraId="31CBB247">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思源黑体 CN Normal">
    <w:altName w:val="汉仪中黑KW"/>
    <w:panose1 w:val="020B0400000000000000"/>
    <w:charset w:val="86"/>
    <w:family w:val="auto"/>
    <w:pitch w:val="default"/>
    <w:sig w:usb0="00000000" w:usb1="00000000" w:usb2="00000016" w:usb3="00000000" w:csb0="60060107" w:csb1="00000000"/>
  </w:font>
  <w:font w:name="思源黑体 CN Light">
    <w:altName w:val="汉仪中黑KW"/>
    <w:panose1 w:val="020B0300000000000000"/>
    <w:charset w:val="86"/>
    <w:family w:val="auto"/>
    <w:pitch w:val="default"/>
    <w:sig w:usb0="00000000" w:usb1="00000000" w:usb2="00000016" w:usb3="00000000" w:csb0="60060107"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468D7"/>
    <w:multiLevelType w:val="multilevel"/>
    <w:tmpl w:val="088468D7"/>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suff w:val="space"/>
      <w:lvlText w:val=""/>
      <w:lvlJc w:val="left"/>
      <w:pPr>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
    <w:nsid w:val="55ED381D"/>
    <w:multiLevelType w:val="singleLevel"/>
    <w:tmpl w:val="55ED381D"/>
    <w:lvl w:ilvl="0" w:tentative="0">
      <w:start w:val="1"/>
      <w:numFmt w:val="chineseCounting"/>
      <w:suff w:val="nothing"/>
      <w:lvlText w:val="%1、"/>
      <w:lvlJc w:val="left"/>
      <w:pPr>
        <w:ind w:left="0" w:firstLine="0"/>
      </w:pPr>
      <w:rPr>
        <w:rFonts w:hint="eastAsia"/>
      </w:rPr>
    </w:lvl>
  </w:abstractNum>
  <w:abstractNum w:abstractNumId="2">
    <w:nsid w:val="707B3CE3"/>
    <w:multiLevelType w:val="singleLevel"/>
    <w:tmpl w:val="707B3CE3"/>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C39DA"/>
    <w:rsid w:val="02F4124E"/>
    <w:rsid w:val="04CD61FB"/>
    <w:rsid w:val="087F51B1"/>
    <w:rsid w:val="08D92006"/>
    <w:rsid w:val="0B9012D2"/>
    <w:rsid w:val="0DB937C0"/>
    <w:rsid w:val="0E802E76"/>
    <w:rsid w:val="0FF02D9D"/>
    <w:rsid w:val="0FFE195E"/>
    <w:rsid w:val="11436CBB"/>
    <w:rsid w:val="11ED1C8A"/>
    <w:rsid w:val="12D93FBD"/>
    <w:rsid w:val="12E110C3"/>
    <w:rsid w:val="13B7685D"/>
    <w:rsid w:val="166D1E8E"/>
    <w:rsid w:val="18D23011"/>
    <w:rsid w:val="1D276D59"/>
    <w:rsid w:val="20DD111C"/>
    <w:rsid w:val="20F24AAC"/>
    <w:rsid w:val="246A716A"/>
    <w:rsid w:val="265B406F"/>
    <w:rsid w:val="27C44DE4"/>
    <w:rsid w:val="28FB4835"/>
    <w:rsid w:val="29942B18"/>
    <w:rsid w:val="2A04596B"/>
    <w:rsid w:val="2A30050E"/>
    <w:rsid w:val="2C601851"/>
    <w:rsid w:val="2C6463DD"/>
    <w:rsid w:val="2DA30834"/>
    <w:rsid w:val="2FCF7101"/>
    <w:rsid w:val="35357321"/>
    <w:rsid w:val="37E944F2"/>
    <w:rsid w:val="38D64977"/>
    <w:rsid w:val="39645EEF"/>
    <w:rsid w:val="3AFD443D"/>
    <w:rsid w:val="3BBD648C"/>
    <w:rsid w:val="3D962926"/>
    <w:rsid w:val="4189001E"/>
    <w:rsid w:val="420A5691"/>
    <w:rsid w:val="42963613"/>
    <w:rsid w:val="42B64197"/>
    <w:rsid w:val="45290793"/>
    <w:rsid w:val="4A974719"/>
    <w:rsid w:val="4B3317B5"/>
    <w:rsid w:val="4EE2490E"/>
    <w:rsid w:val="4FAD422B"/>
    <w:rsid w:val="55592760"/>
    <w:rsid w:val="57F6251B"/>
    <w:rsid w:val="58101851"/>
    <w:rsid w:val="5DBA5079"/>
    <w:rsid w:val="5E2E29DB"/>
    <w:rsid w:val="5FFB4F74"/>
    <w:rsid w:val="65841133"/>
    <w:rsid w:val="66BF51EF"/>
    <w:rsid w:val="67367361"/>
    <w:rsid w:val="6A5A06B4"/>
    <w:rsid w:val="6B6E08BB"/>
    <w:rsid w:val="6DFD0DD2"/>
    <w:rsid w:val="705D0C6C"/>
    <w:rsid w:val="74582FB2"/>
    <w:rsid w:val="765406AD"/>
    <w:rsid w:val="78574485"/>
    <w:rsid w:val="7E702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1430</Words>
  <Characters>1560</Characters>
  <Lines>0</Lines>
  <Paragraphs>0</Paragraphs>
  <TotalTime>4</TotalTime>
  <ScaleCrop>false</ScaleCrop>
  <LinksUpToDate>false</LinksUpToDate>
  <CharactersWithSpaces>1561</CharactersWithSpaces>
  <Application>WPS Office_6.8.0.8846_F1E327BC-269C-435d-A152-05C5408002CA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徐工</dc:creator>
  <cp:keywords>, docId:FBE95DAA2D1FAC432D22C95913C221C5</cp:keywords>
  <cp:lastModifiedBy>fairy.</cp:lastModifiedBy>
  <dcterms:modified xsi:type="dcterms:W3CDTF">2026-03-18T09:26:59Z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2052-6.8.0.8846</vt:lpwstr>
  </property>
  <property fmtid="{D5CDD505-2E9C-101B-9397-08002B2CF9AE}" pid="3" name="KSOTemplateDocerSaveRecord">
    <vt:lpwstr>eyJoZGlkIjoiMzEwNTM5NzYwMDRjMzkwZTVkZjY2ODkwMGIxNGU0OTUiLCJ1c2VySWQiOiIyMjY1MTE0MjgifQ==</vt:lpwstr>
  </property>
  <property fmtid="{D5CDD505-2E9C-101B-9397-08002B2CF9AE}" pid="4" name="ICV">
    <vt:lpwstr>0D0309F69BC048EFB3A38BCECA840AEB_12</vt:lpwstr>
  </property>
</Properties>
</file>