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AI-CDSS WebApp – Stream B</w:t>
        <w:br/>
        <w:t>Prospective Patient Care Cascade</w:t>
      </w:r>
    </w:p>
    <w:p>
      <w:pPr>
        <w:jc w:val="center"/>
      </w:pPr>
      <w:r>
        <w:rPr>
          <w:b/>
          <w:sz w:val="22"/>
        </w:rPr>
        <w:t>Clinical Episode → Laboratory/AST → Treatment → Follow-up/Outcome</w:t>
        <w:br/>
        <w:t>Developer Data Collection &amp; Implementation Specification</w:t>
      </w:r>
    </w:p>
    <w:p>
      <w:pPr>
        <w:jc w:val="center"/>
      </w:pPr>
      <w:r>
        <w:t>Project: Feasibility and impact of an AI-driven clinical decision support system (AI-CDSS) to improve rational antimicrobial use in Rwandan Primary Healthcare</w:t>
        <w:br/>
      </w:r>
      <w:r>
        <w:rPr>
          <w:b/>
        </w:rPr>
        <w:t>University of Rwanda IRB Ref. No. 279/CMHSIRB/2026</w:t>
      </w:r>
    </w:p>
    <w:p>
      <w:pPr>
        <w:pStyle w:val="Heading1"/>
      </w:pPr>
      <w:r>
        <w:t>1. Purpose and study-stream architecture</w:t>
      </w:r>
    </w:p>
    <w:p>
      <w:r>
        <w:t>This specification defines Stream B of the study WebApp. Stream B is a facility-based prospective observational patient-care cascade. Eligible patients are enrolled when they present to participating health facilities seeking care, and each clinical episode is followed through clinical assessment, laboratory/AST processes where applicable, treatment, and follow-up/outcome.</w:t>
      </w:r>
    </w:p>
    <w:p>
      <w:r>
        <w:t>The overall study has two complementary but methodologically distinct streams. Stream A is the cross-sectional KAP and antimicrobial-use drivers component: A1 covers Healthcare Provider KAP (medical doctors, nurses, pharmacists and laboratory technicians), while A2 covers Community KAP &amp; Drivers (Community Health Workers and patients/community members). Stream B captures actual patient-level care events rather than KAP perceptions.</w:t>
      </w:r>
    </w:p>
    <w:p>
      <w:r>
        <w:rPr>
          <w:b/>
        </w:rPr>
        <w:t xml:space="preserve">Core Stream B pathway: </w:t>
      </w:r>
      <w:r>
        <w:t>Clinical Episode → Laboratory/AST → Treatment → Follow-up/Outcome.</w:t>
      </w:r>
    </w:p>
    <w:p>
      <w:pPr>
        <w:pStyle w:val="Heading1"/>
      </w:pPr>
      <w:r>
        <w:t>2. Core design principles for the developer</w:t>
      </w:r>
    </w:p>
    <w:p>
      <w:pPr>
        <w:pStyle w:val="ListBullet"/>
      </w:pPr>
      <w:r>
        <w:t>Stream A and Stream B must be stored as distinct modules but be technically linkable when the same participant is involved in both.</w:t>
      </w:r>
    </w:p>
    <w:p>
      <w:pPr>
        <w:pStyle w:val="ListBullet"/>
      </w:pPr>
      <w:r>
        <w:t>Study_Participant_ID identifies the enrolled person. Episode_ID identifies each separate illness/care episode. A participant may have more than one Episode_ID.</w:t>
      </w:r>
    </w:p>
    <w:p>
      <w:pPr>
        <w:pStyle w:val="ListBullet"/>
      </w:pPr>
      <w:r>
        <w:t>Stream B is observational/silent-mode. The WebApp records routine clinical decisions and outcomes; the research AI prototype must not display or deliver treatment recommendations to clinicians or patients during silent-mode validation.</w:t>
      </w:r>
    </w:p>
    <w:p>
      <w:pPr>
        <w:pStyle w:val="ListBullet"/>
      </w:pPr>
      <w:r>
        <w:t>Do not require completion of Stream A as a prerequisite for enrolment in Stream B.</w:t>
      </w:r>
    </w:p>
    <w:p>
      <w:pPr>
        <w:pStyle w:val="ListBullet"/>
      </w:pPr>
      <w:r>
        <w:t>Role-based access is required. Clinical, laboratory, pharmacy/treatment, follow-up, research-administration and AI-backend functions should have permissions appropriate to their roles.</w:t>
      </w:r>
    </w:p>
    <w:p>
      <w:pPr>
        <w:pStyle w:val="ListBullet"/>
      </w:pPr>
      <w:r>
        <w:t>Personally identifying information must be stored separately from the analytical clinical dataset and linked using Study_Participant_ID.</w:t>
      </w:r>
    </w:p>
    <w:p>
      <w:pPr>
        <w:pStyle w:val="ListBullet"/>
      </w:pPr>
      <w:r>
        <w:t>Every major event should carry timestamps, facility/site identifiers, authenticated user ID, record status and audit history.</w:t>
      </w:r>
    </w:p>
    <w:p>
      <w:pPr>
        <w:pStyle w:val="Heading1"/>
      </w:pPr>
      <w:r>
        <w:t>3. Identifiers and relational data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944"/>
            <w:vAlign w:val="center"/>
            <w:shd w:fill="D9EAF7"/>
          </w:tcPr>
          <w:p>
            <w:r/>
            <w:r>
              <w:rPr>
                <w:b/>
                <w:sz w:val="17"/>
              </w:rPr>
              <w:t>Entity / ID</w:t>
            </w:r>
          </w:p>
        </w:tc>
        <w:tc>
          <w:tcPr>
            <w:tcW w:type="dxa" w:w="4608"/>
            <w:vAlign w:val="center"/>
            <w:shd w:fill="D9EAF7"/>
          </w:tcPr>
          <w:p>
            <w:r/>
            <w:r>
              <w:rPr>
                <w:b/>
                <w:sz w:val="17"/>
              </w:rPr>
              <w:t>Purpose</w:t>
            </w:r>
          </w:p>
        </w:tc>
        <w:tc>
          <w:tcPr>
            <w:tcW w:type="dxa" w:w="4320"/>
            <w:vAlign w:val="center"/>
            <w:shd w:fill="D9EAF7"/>
          </w:tcPr>
          <w:p>
            <w:r/>
            <w:r>
              <w:rPr>
                <w:b/>
                <w:sz w:val="17"/>
              </w:rPr>
              <w:t>Key relationship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7"/>
              </w:rPr>
              <w:t>Study_Participant_ID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7"/>
              </w:rPr>
              <w:t>Unique study identifier for an enrolled patient; must not contain name or telephone number.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One participant → zero/one Stream A record and one/many Stream B episodes.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7"/>
              </w:rPr>
              <w:t>Episode_ID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7"/>
              </w:rPr>
              <w:t>Unique identifier for one illness/care episode.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Many Episode_IDs may belong to one Study_Participant_ID.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7"/>
              </w:rPr>
              <w:t>Encounter_ID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7"/>
              </w:rPr>
              <w:t>Optional unique identifier for each facility contact within an episode.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One Episode_ID → one/many encounters.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7"/>
              </w:rPr>
              <w:t>Specimen_ID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7"/>
              </w:rPr>
              <w:t>Unique identifier for each specimen collected/tested.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One Episode_ID → zero/many specimens.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7"/>
              </w:rPr>
              <w:t>AST_Record_ID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7"/>
              </w:rPr>
              <w:t>Unique AST result record linked to specimen/pathogen.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One Specimen_ID → zero/many pathogen/antibiotic result rows.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7"/>
              </w:rPr>
              <w:t>Treatment_Record_ID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7"/>
              </w:rPr>
              <w:t>Unique prescribed/dispensed/obtained medication record.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One Episode_ID → zero/many medication records.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7"/>
              </w:rPr>
              <w:t>Followup_ID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7"/>
              </w:rPr>
              <w:t>Unique follow-up contact/outcome record.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One Episode_ID → one/many follow-ups.</w:t>
            </w:r>
          </w:p>
        </w:tc>
      </w:tr>
    </w:tbl>
    <w:p/>
    <w:p>
      <w:pPr>
        <w:pStyle w:val="Heading1"/>
      </w:pPr>
      <w:r>
        <w:t>4. Stream B enrolment and patient registration</w:t>
      </w:r>
    </w:p>
    <w:p>
      <w:r>
        <w:t>At first Stream B enrolment, the authorized research/data-collection user confirms eligibility and consent, searches for an existing Study_Participant_ID, and creates a new participant only when no valid record exists. A new Episode_ID is then generated for the current care-seeking episode.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7"/>
              </w:rPr>
              <w:t>Variable</w:t>
            </w:r>
          </w:p>
        </w:tc>
        <w:tc>
          <w:tcPr>
            <w:tcW w:type="dxa" w:w="2232"/>
            <w:vAlign w:val="center"/>
            <w:shd w:fill="D9EAF7"/>
          </w:tcPr>
          <w:p>
            <w:r/>
            <w:r>
              <w:rPr>
                <w:b/>
                <w:sz w:val="17"/>
              </w:rPr>
              <w:t>Type / format</w:t>
            </w:r>
          </w:p>
        </w:tc>
        <w:tc>
          <w:tcPr>
            <w:tcW w:type="dxa" w:w="5760"/>
            <w:vAlign w:val="center"/>
            <w:shd w:fill="D9EAF7"/>
          </w:tcPr>
          <w:p>
            <w:r/>
            <w:r>
              <w:rPr>
                <w:b/>
                <w:sz w:val="17"/>
              </w:rPr>
              <w:t>Developer rule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stream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7"/>
              </w:rPr>
              <w:t>System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7"/>
              </w:rPr>
              <w:t>Fixed value: B.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study_participant_id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7"/>
              </w:rPr>
              <w:t>System-generated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7"/>
              </w:rPr>
              <w:t>Unique, non-identifying.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episode_id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7"/>
              </w:rPr>
              <w:t>System-generated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7"/>
              </w:rPr>
              <w:t>Unique per clinical episode.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consent_status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7"/>
              </w:rPr>
              <w:t>Single select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7"/>
              </w:rPr>
              <w:t>Consented / Declined. Stop enrolment if declined.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enrolment_datetime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7"/>
              </w:rPr>
              <w:t>Date-time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7"/>
              </w:rPr>
              <w:t>Auto-captured.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facility_id / facility_name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7"/>
              </w:rPr>
              <w:t>Controlled list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7"/>
              </w:rPr>
              <w:t>Participating facility/site.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patient_name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7"/>
              </w:rPr>
              <w:t>Restricted identifying table only.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patient_telephone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7"/>
              </w:rPr>
              <w:t>Validated telephone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7"/>
              </w:rPr>
              <w:t>Restricted identifying table only; study-related follow-up.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date_of_birth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7"/>
              </w:rPr>
              <w:t>Date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7"/>
              </w:rPr>
              <w:t>Derive age during analysis/system processing.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sex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7"/>
              </w:rPr>
              <w:t>Single select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7"/>
              </w:rPr>
              <w:t>Use approved study categories.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residence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7"/>
              </w:rPr>
              <w:t>Structured fields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7"/>
              </w:rPr>
              <w:t>Village/Cell/Sector/District/Province as approved.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insurance_status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7"/>
              </w:rPr>
              <w:t>Controlled list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7"/>
              </w:rPr>
              <w:t>Capture actual insurance status where relevant.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authenticated_user_id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7"/>
              </w:rPr>
              <w:t>System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7"/>
              </w:rPr>
              <w:t>User creating the enrolment record.</w:t>
            </w:r>
          </w:p>
        </w:tc>
      </w:tr>
    </w:tbl>
    <w:p/>
    <w:p>
      <w:pPr>
        <w:pStyle w:val="Heading1"/>
      </w:pPr>
      <w:r>
        <w:t>5. Module B1 – Clinical Episode</w:t>
      </w:r>
    </w:p>
    <w:p>
      <w:r>
        <w:t>Purpose: capture the patient's presentation and the routine clinical assessment/decision at the health facility. This module represents what actually occurred in care; it is not a KAP questionnaire.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096"/>
            <w:vAlign w:val="center"/>
            <w:shd w:fill="D9EAF7"/>
          </w:tcPr>
          <w:p>
            <w:r/>
            <w:r>
              <w:rPr>
                <w:b/>
                <w:sz w:val="17"/>
              </w:rPr>
              <w:t>Data element</w:t>
            </w:r>
          </w:p>
        </w:tc>
        <w:tc>
          <w:tcPr>
            <w:tcW w:type="dxa" w:w="2448"/>
            <w:vAlign w:val="center"/>
            <w:shd w:fill="D9EAF7"/>
          </w:tcPr>
          <w:p>
            <w:r/>
            <w:r>
              <w:rPr>
                <w:b/>
                <w:sz w:val="17"/>
              </w:rPr>
              <w:t>Recommended format</w:t>
            </w:r>
          </w:p>
        </w:tc>
        <w:tc>
          <w:tcPr>
            <w:tcW w:type="dxa" w:w="5328"/>
            <w:vAlign w:val="center"/>
            <w:shd w:fill="D9EAF7"/>
          </w:tcPr>
          <w:p>
            <w:r/>
            <w:r>
              <w:rPr>
                <w:b/>
                <w:sz w:val="17"/>
              </w:rPr>
              <w:t>Logic / implementation note</w:t>
            </w:r>
          </w:p>
        </w:tc>
      </w:tr>
      <w:tr>
        <w:tc>
          <w:tcPr>
            <w:tcW w:type="dxa" w:w="3096"/>
            <w:vAlign w:val="center"/>
          </w:tcPr>
          <w:p>
            <w:r/>
            <w:r>
              <w:rPr>
                <w:b w:val="0"/>
                <w:sz w:val="17"/>
              </w:rPr>
              <w:t>Consultation date/time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Date-time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Required; preferably auto-stamped with editable verified clinical time.</w:t>
            </w:r>
          </w:p>
        </w:tc>
      </w:tr>
      <w:tr>
        <w:tc>
          <w:tcPr>
            <w:tcW w:type="dxa" w:w="3096"/>
            <w:vAlign w:val="center"/>
          </w:tcPr>
          <w:p>
            <w:r/>
            <w:r>
              <w:rPr>
                <w:b w:val="0"/>
                <w:sz w:val="17"/>
              </w:rPr>
              <w:t>Facility / service point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Controlled list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Link to facility and encounter.</w:t>
            </w:r>
          </w:p>
        </w:tc>
      </w:tr>
      <w:tr>
        <w:tc>
          <w:tcPr>
            <w:tcW w:type="dxa" w:w="3096"/>
            <w:vAlign w:val="center"/>
          </w:tcPr>
          <w:p>
            <w:r/>
            <w:r>
              <w:rPr>
                <w:b w:val="0"/>
                <w:sz w:val="17"/>
              </w:rPr>
              <w:t>Healthcare provider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Authenticated user / coded provider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Avoid free-text names where provider accounts exist.</w:t>
            </w:r>
          </w:p>
        </w:tc>
      </w:tr>
      <w:tr>
        <w:tc>
          <w:tcPr>
            <w:tcW w:type="dxa" w:w="3096"/>
            <w:vAlign w:val="center"/>
          </w:tcPr>
          <w:p>
            <w:r/>
            <w:r>
              <w:rPr>
                <w:b w:val="0"/>
                <w:sz w:val="17"/>
              </w:rPr>
              <w:t>Presenting complaints / symptoms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Multi-select + Other text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Examples from source framework: fever, headache, difficulty breathing, cough, nausea, lack of appetite, vomiting, diarrhoea, dysuria, wound discharge.</w:t>
            </w:r>
          </w:p>
        </w:tc>
      </w:tr>
      <w:tr>
        <w:tc>
          <w:tcPr>
            <w:tcW w:type="dxa" w:w="3096"/>
            <w:vAlign w:val="center"/>
          </w:tcPr>
          <w:p>
            <w:r/>
            <w:r>
              <w:rPr>
                <w:b w:val="0"/>
                <w:sz w:val="17"/>
              </w:rPr>
              <w:t>Symptom duration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Numeric + unit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Days/hours as appropriate.</w:t>
            </w:r>
          </w:p>
        </w:tc>
      </w:tr>
      <w:tr>
        <w:tc>
          <w:tcPr>
            <w:tcW w:type="dxa" w:w="3096"/>
            <w:vAlign w:val="center"/>
          </w:tcPr>
          <w:p>
            <w:r/>
            <w:r>
              <w:rPr>
                <w:b w:val="0"/>
                <w:sz w:val="17"/>
              </w:rPr>
              <w:t>Clinical observations / examination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Structured + optional text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Only variables approved for study collection.</w:t>
            </w:r>
          </w:p>
        </w:tc>
      </w:tr>
      <w:tr>
        <w:tc>
          <w:tcPr>
            <w:tcW w:type="dxa" w:w="3096"/>
            <w:vAlign w:val="center"/>
          </w:tcPr>
          <w:p>
            <w:r/>
            <w:r>
              <w:rPr>
                <w:b w:val="0"/>
                <w:sz w:val="17"/>
              </w:rPr>
              <w:t>Suspected/presumptive/clinical diagnosis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Controlled list + Other text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Examples include urinary, intestinal, bloodstream, respiratory and other/unclassified infection.</w:t>
            </w:r>
          </w:p>
        </w:tc>
      </w:tr>
      <w:tr>
        <w:tc>
          <w:tcPr>
            <w:tcW w:type="dxa" w:w="3096"/>
            <w:vAlign w:val="center"/>
          </w:tcPr>
          <w:p>
            <w:r/>
            <w:r>
              <w:rPr>
                <w:b w:val="0"/>
                <w:sz w:val="17"/>
              </w:rPr>
              <w:t>Clinical decision / triage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Single select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Home/self-care; lab requested; medication prescribed; lab + medication; referral; admission/other as applicable.</w:t>
            </w:r>
          </w:p>
        </w:tc>
      </w:tr>
      <w:tr>
        <w:tc>
          <w:tcPr>
            <w:tcW w:type="dxa" w:w="3096"/>
            <w:vAlign w:val="center"/>
          </w:tcPr>
          <w:p>
            <w:r/>
            <w:r>
              <w:rPr>
                <w:b w:val="0"/>
                <w:sz w:val="17"/>
              </w:rPr>
              <w:t>Laboratory test requested?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Yes/No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If Yes, open/create laboratory request.</w:t>
            </w:r>
          </w:p>
        </w:tc>
      </w:tr>
      <w:tr>
        <w:tc>
          <w:tcPr>
            <w:tcW w:type="dxa" w:w="3096"/>
            <w:vAlign w:val="center"/>
          </w:tcPr>
          <w:p>
            <w:r/>
            <w:r>
              <w:rPr>
                <w:b w:val="0"/>
                <w:sz w:val="17"/>
              </w:rPr>
              <w:t>Specimen requested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Multi-select / controlled list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Show only when lab test requested.</w:t>
            </w:r>
          </w:p>
        </w:tc>
      </w:tr>
      <w:tr>
        <w:tc>
          <w:tcPr>
            <w:tcW w:type="dxa" w:w="3096"/>
            <w:vAlign w:val="center"/>
          </w:tcPr>
          <w:p>
            <w:r/>
            <w:r>
              <w:rPr>
                <w:b w:val="0"/>
                <w:sz w:val="17"/>
              </w:rPr>
              <w:t>Referral required?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Yes/No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If Yes, capture destination, date/time, reason and referral status.</w:t>
            </w:r>
          </w:p>
        </w:tc>
      </w:tr>
      <w:tr>
        <w:tc>
          <w:tcPr>
            <w:tcW w:type="dxa" w:w="3096"/>
            <w:vAlign w:val="center"/>
          </w:tcPr>
          <w:p>
            <w:r/>
            <w:r>
              <w:rPr>
                <w:b w:val="0"/>
                <w:sz w:val="17"/>
              </w:rPr>
              <w:t>Clinical notes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Long text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Optional observational/context notes.</w:t>
            </w:r>
          </w:p>
        </w:tc>
      </w:tr>
    </w:tbl>
    <w:p/>
    <w:p>
      <w:pPr>
        <w:pStyle w:val="Heading1"/>
      </w:pPr>
      <w:r>
        <w:t>6. Module B2 – Laboratory and AST</w:t>
      </w:r>
    </w:p>
    <w:p>
      <w:r>
        <w:t>Purpose: link diagnostic testing to the same Episode_ID and capture specimen processing, organism identification and AST results. The module must support episodes with no laboratory testing and specimens referred to another facility.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096"/>
            <w:vAlign w:val="center"/>
            <w:shd w:fill="D9EAF7"/>
          </w:tcPr>
          <w:p>
            <w:r/>
            <w:r>
              <w:rPr>
                <w:b/>
                <w:sz w:val="17"/>
              </w:rPr>
              <w:t>Data element</w:t>
            </w:r>
          </w:p>
        </w:tc>
        <w:tc>
          <w:tcPr>
            <w:tcW w:type="dxa" w:w="2448"/>
            <w:vAlign w:val="center"/>
            <w:shd w:fill="D9EAF7"/>
          </w:tcPr>
          <w:p>
            <w:r/>
            <w:r>
              <w:rPr>
                <w:b/>
                <w:sz w:val="17"/>
              </w:rPr>
              <w:t>Recommended format</w:t>
            </w:r>
          </w:p>
        </w:tc>
        <w:tc>
          <w:tcPr>
            <w:tcW w:type="dxa" w:w="5328"/>
            <w:vAlign w:val="center"/>
            <w:shd w:fill="D9EAF7"/>
          </w:tcPr>
          <w:p>
            <w:r/>
            <w:r>
              <w:rPr>
                <w:b/>
                <w:sz w:val="17"/>
              </w:rPr>
              <w:t>Logic / implementation note</w:t>
            </w:r>
          </w:p>
        </w:tc>
      </w:tr>
      <w:tr>
        <w:tc>
          <w:tcPr>
            <w:tcW w:type="dxa" w:w="3096"/>
            <w:vAlign w:val="center"/>
          </w:tcPr>
          <w:p>
            <w:r/>
            <w:r>
              <w:rPr>
                <w:b w:val="0"/>
                <w:sz w:val="17"/>
              </w:rPr>
              <w:t>Laboratory request ID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System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Linked to Episode_ID/Encounter_ID.</w:t>
            </w:r>
          </w:p>
        </w:tc>
      </w:tr>
      <w:tr>
        <w:tc>
          <w:tcPr>
            <w:tcW w:type="dxa" w:w="3096"/>
            <w:vAlign w:val="center"/>
          </w:tcPr>
          <w:p>
            <w:r/>
            <w:r>
              <w:rPr>
                <w:b w:val="0"/>
                <w:sz w:val="17"/>
              </w:rPr>
              <w:t>Specimen_ID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System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Generate per specimen.</w:t>
            </w:r>
          </w:p>
        </w:tc>
      </w:tr>
      <w:tr>
        <w:tc>
          <w:tcPr>
            <w:tcW w:type="dxa" w:w="3096"/>
            <w:vAlign w:val="center"/>
          </w:tcPr>
          <w:p>
            <w:r/>
            <w:r>
              <w:rPr>
                <w:b w:val="0"/>
                <w:sz w:val="17"/>
              </w:rPr>
              <w:t>Specimen type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Controlled list + Other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Blood, urine, respiratory, stool, wound/other as approved.</w:t>
            </w:r>
          </w:p>
        </w:tc>
      </w:tr>
      <w:tr>
        <w:tc>
          <w:tcPr>
            <w:tcW w:type="dxa" w:w="3096"/>
            <w:vAlign w:val="center"/>
          </w:tcPr>
          <w:p>
            <w:r/>
            <w:r>
              <w:rPr>
                <w:b w:val="0"/>
                <w:sz w:val="17"/>
              </w:rPr>
              <w:t>Collection date/time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Date-time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Required when collected.</w:t>
            </w:r>
          </w:p>
        </w:tc>
      </w:tr>
      <w:tr>
        <w:tc>
          <w:tcPr>
            <w:tcW w:type="dxa" w:w="3096"/>
            <w:vAlign w:val="center"/>
          </w:tcPr>
          <w:p>
            <w:r/>
            <w:r>
              <w:rPr>
                <w:b w:val="0"/>
                <w:sz w:val="17"/>
              </w:rPr>
              <w:t>Testing laboratory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Controlled facility/lab list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Allow referred specimen destination.</w:t>
            </w:r>
          </w:p>
        </w:tc>
      </w:tr>
      <w:tr>
        <w:tc>
          <w:tcPr>
            <w:tcW w:type="dxa" w:w="3096"/>
            <w:vAlign w:val="center"/>
          </w:tcPr>
          <w:p>
            <w:r/>
            <w:r>
              <w:rPr>
                <w:b w:val="0"/>
                <w:sz w:val="17"/>
              </w:rPr>
              <w:t>Specimen status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Controlled status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Requested / collected / received / rejected / tested / referred / completed.</w:t>
            </w:r>
          </w:p>
        </w:tc>
      </w:tr>
      <w:tr>
        <w:tc>
          <w:tcPr>
            <w:tcW w:type="dxa" w:w="3096"/>
            <w:vAlign w:val="center"/>
          </w:tcPr>
          <w:p>
            <w:r/>
            <w:r>
              <w:rPr>
                <w:b w:val="0"/>
                <w:sz w:val="17"/>
              </w:rPr>
              <w:t>Test performed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Controlled list + Other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Routine diagnostic/microbiology test.</w:t>
            </w:r>
          </w:p>
        </w:tc>
      </w:tr>
      <w:tr>
        <w:tc>
          <w:tcPr>
            <w:tcW w:type="dxa" w:w="3096"/>
            <w:vAlign w:val="center"/>
          </w:tcPr>
          <w:p>
            <w:r/>
            <w:r>
              <w:rPr>
                <w:b w:val="0"/>
                <w:sz w:val="17"/>
              </w:rPr>
              <w:t>Pathogen/organism identified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Controlled organism list + Other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Allow no growth/not identified where applicable.</w:t>
            </w:r>
          </w:p>
        </w:tc>
      </w:tr>
      <w:tr>
        <w:tc>
          <w:tcPr>
            <w:tcW w:type="dxa" w:w="3096"/>
            <w:vAlign w:val="center"/>
          </w:tcPr>
          <w:p>
            <w:r/>
            <w:r>
              <w:rPr>
                <w:b w:val="0"/>
                <w:sz w:val="17"/>
              </w:rPr>
              <w:t>Antibiotic tested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Repeatable controlled list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One row per organism–antibiotic combination.</w:t>
            </w:r>
          </w:p>
        </w:tc>
      </w:tr>
      <w:tr>
        <w:tc>
          <w:tcPr>
            <w:tcW w:type="dxa" w:w="3096"/>
            <w:vAlign w:val="center"/>
          </w:tcPr>
          <w:p>
            <w:r/>
            <w:r>
              <w:rPr>
                <w:b w:val="0"/>
                <w:sz w:val="17"/>
              </w:rPr>
              <w:t>AST interpretation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Single select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R = Resistant; S = Susceptible; I = Intermediate/approved current laboratory interpretation.</w:t>
            </w:r>
          </w:p>
        </w:tc>
      </w:tr>
      <w:tr>
        <w:tc>
          <w:tcPr>
            <w:tcW w:type="dxa" w:w="3096"/>
            <w:vAlign w:val="center"/>
          </w:tcPr>
          <w:p>
            <w:r/>
            <w:r>
              <w:rPr>
                <w:b w:val="0"/>
                <w:sz w:val="17"/>
              </w:rPr>
              <w:t>Quantitative AST value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Numeric + unit, optional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MIC/zone diameter only when routinely available and approved.</w:t>
            </w:r>
          </w:p>
        </w:tc>
      </w:tr>
      <w:tr>
        <w:tc>
          <w:tcPr>
            <w:tcW w:type="dxa" w:w="3096"/>
            <w:vAlign w:val="center"/>
          </w:tcPr>
          <w:p>
            <w:r/>
            <w:r>
              <w:rPr>
                <w:b w:val="0"/>
                <w:sz w:val="17"/>
              </w:rPr>
              <w:t>Result date/time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Date-time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Capture turnaround interval.</w:t>
            </w:r>
          </w:p>
        </w:tc>
      </w:tr>
      <w:tr>
        <w:tc>
          <w:tcPr>
            <w:tcW w:type="dxa" w:w="3096"/>
            <w:vAlign w:val="center"/>
          </w:tcPr>
          <w:p>
            <w:r/>
            <w:r>
              <w:rPr>
                <w:b w:val="0"/>
                <w:sz w:val="17"/>
              </w:rPr>
              <w:t>Result communicated?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Yes/No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If Yes, capture recipient(s), method and date/time.</w:t>
            </w:r>
          </w:p>
        </w:tc>
      </w:tr>
      <w:tr>
        <w:tc>
          <w:tcPr>
            <w:tcW w:type="dxa" w:w="3096"/>
            <w:vAlign w:val="center"/>
          </w:tcPr>
          <w:p>
            <w:r/>
            <w:r>
              <w:rPr>
                <w:b w:val="0"/>
                <w:sz w:val="17"/>
              </w:rPr>
              <w:t>Recipient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Multi-select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First consulting provider / referral provider / patient notification / other authorized recipient.</w:t>
            </w:r>
          </w:p>
        </w:tc>
      </w:tr>
      <w:tr>
        <w:tc>
          <w:tcPr>
            <w:tcW w:type="dxa" w:w="3096"/>
            <w:vAlign w:val="center"/>
          </w:tcPr>
          <w:p>
            <w:r/>
            <w:r>
              <w:rPr>
                <w:b w:val="0"/>
                <w:sz w:val="17"/>
              </w:rPr>
              <w:t>Laboratory comments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Optional.</w:t>
            </w:r>
          </w:p>
        </w:tc>
      </w:tr>
    </w:tbl>
    <w:p/>
    <w:p>
      <w:pPr>
        <w:pStyle w:val="Heading1"/>
      </w:pPr>
      <w:r>
        <w:t>7. Module B3 – Treatment and antimicrobial use</w:t>
      </w:r>
    </w:p>
    <w:p>
      <w:r>
        <w:t>Purpose: document treatment decisions and, where feasible, distinguish prescribed, dispensed and actually obtained/started medicines. Medication records should be repeatable rather than stored as one long free-text field.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096"/>
            <w:vAlign w:val="center"/>
            <w:shd w:fill="D9EAF7"/>
          </w:tcPr>
          <w:p>
            <w:r/>
            <w:r>
              <w:rPr>
                <w:b/>
                <w:sz w:val="17"/>
              </w:rPr>
              <w:t>Data element</w:t>
            </w:r>
          </w:p>
        </w:tc>
        <w:tc>
          <w:tcPr>
            <w:tcW w:type="dxa" w:w="2448"/>
            <w:vAlign w:val="center"/>
            <w:shd w:fill="D9EAF7"/>
          </w:tcPr>
          <w:p>
            <w:r/>
            <w:r>
              <w:rPr>
                <w:b/>
                <w:sz w:val="17"/>
              </w:rPr>
              <w:t>Recommended format</w:t>
            </w:r>
          </w:p>
        </w:tc>
        <w:tc>
          <w:tcPr>
            <w:tcW w:type="dxa" w:w="5328"/>
            <w:vAlign w:val="center"/>
            <w:shd w:fill="D9EAF7"/>
          </w:tcPr>
          <w:p>
            <w:r/>
            <w:r>
              <w:rPr>
                <w:b/>
                <w:sz w:val="17"/>
              </w:rPr>
              <w:t>Logic / implementation note</w:t>
            </w:r>
          </w:p>
        </w:tc>
      </w:tr>
      <w:tr>
        <w:tc>
          <w:tcPr>
            <w:tcW w:type="dxa" w:w="3096"/>
            <w:vAlign w:val="center"/>
          </w:tcPr>
          <w:p>
            <w:r/>
            <w:r>
              <w:rPr>
                <w:b w:val="0"/>
                <w:sz w:val="17"/>
              </w:rPr>
              <w:t>Medication category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Controlled list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Antimicrobial / analgesic / vitamin / other.</w:t>
            </w:r>
          </w:p>
        </w:tc>
      </w:tr>
      <w:tr>
        <w:tc>
          <w:tcPr>
            <w:tcW w:type="dxa" w:w="3096"/>
            <w:vAlign w:val="center"/>
          </w:tcPr>
          <w:p>
            <w:r/>
            <w:r>
              <w:rPr>
                <w:b w:val="0"/>
                <w:sz w:val="17"/>
              </w:rPr>
              <w:t>Medication name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Controlled formulary + Other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Prefer standardized generic name.</w:t>
            </w:r>
          </w:p>
        </w:tc>
      </w:tr>
      <w:tr>
        <w:tc>
          <w:tcPr>
            <w:tcW w:type="dxa" w:w="3096"/>
            <w:vAlign w:val="center"/>
          </w:tcPr>
          <w:p>
            <w:r/>
            <w:r>
              <w:rPr>
                <w:b w:val="0"/>
                <w:sz w:val="17"/>
              </w:rPr>
              <w:t>Indication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Controlled/text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Link to episode diagnosis where possible.</w:t>
            </w:r>
          </w:p>
        </w:tc>
      </w:tr>
      <w:tr>
        <w:tc>
          <w:tcPr>
            <w:tcW w:type="dxa" w:w="3096"/>
            <w:vAlign w:val="center"/>
          </w:tcPr>
          <w:p>
            <w:r/>
            <w:r>
              <w:rPr>
                <w:b w:val="0"/>
                <w:sz w:val="17"/>
              </w:rPr>
              <w:t>Dose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Numeric + unit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Structured.</w:t>
            </w:r>
          </w:p>
        </w:tc>
      </w:tr>
      <w:tr>
        <w:tc>
          <w:tcPr>
            <w:tcW w:type="dxa" w:w="3096"/>
            <w:vAlign w:val="center"/>
          </w:tcPr>
          <w:p>
            <w:r/>
            <w:r>
              <w:rPr>
                <w:b w:val="0"/>
                <w:sz w:val="17"/>
              </w:rPr>
              <w:t>Frequency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Controlled / structured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e.g., times per day or standardized schedule.</w:t>
            </w:r>
          </w:p>
        </w:tc>
      </w:tr>
      <w:tr>
        <w:tc>
          <w:tcPr>
            <w:tcW w:type="dxa" w:w="3096"/>
            <w:vAlign w:val="center"/>
          </w:tcPr>
          <w:p>
            <w:r/>
            <w:r>
              <w:rPr>
                <w:b w:val="0"/>
                <w:sz w:val="17"/>
              </w:rPr>
              <w:t>Route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Controlled list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Oral / injection / IV infusion / topical / other.</w:t>
            </w:r>
          </w:p>
        </w:tc>
      </w:tr>
      <w:tr>
        <w:tc>
          <w:tcPr>
            <w:tcW w:type="dxa" w:w="3096"/>
            <w:vAlign w:val="center"/>
          </w:tcPr>
          <w:p>
            <w:r/>
            <w:r>
              <w:rPr>
                <w:b w:val="0"/>
                <w:sz w:val="17"/>
              </w:rPr>
              <w:t>Planned duration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Numeric + unit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Days/hours as appropriate.</w:t>
            </w:r>
          </w:p>
        </w:tc>
      </w:tr>
      <w:tr>
        <w:tc>
          <w:tcPr>
            <w:tcW w:type="dxa" w:w="3096"/>
            <w:vAlign w:val="center"/>
          </w:tcPr>
          <w:p>
            <w:r/>
            <w:r>
              <w:rPr>
                <w:b w:val="0"/>
                <w:sz w:val="17"/>
              </w:rPr>
              <w:t>Prescription date/time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Date-time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Required for prescribed medicines.</w:t>
            </w:r>
          </w:p>
        </w:tc>
      </w:tr>
      <w:tr>
        <w:tc>
          <w:tcPr>
            <w:tcW w:type="dxa" w:w="3096"/>
            <w:vAlign w:val="center"/>
          </w:tcPr>
          <w:p>
            <w:r/>
            <w:r>
              <w:rPr>
                <w:b w:val="0"/>
                <w:sz w:val="17"/>
              </w:rPr>
              <w:t>Prescriber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Authenticated/coded provider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Linked to facility user where possible.</w:t>
            </w:r>
          </w:p>
        </w:tc>
      </w:tr>
      <w:tr>
        <w:tc>
          <w:tcPr>
            <w:tcW w:type="dxa" w:w="3096"/>
            <w:vAlign w:val="center"/>
          </w:tcPr>
          <w:p>
            <w:r/>
            <w:r>
              <w:rPr>
                <w:b w:val="0"/>
                <w:sz w:val="17"/>
              </w:rPr>
              <w:t>Dispensed?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Yes/No/Unknown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Capture dispensing status.</w:t>
            </w:r>
          </w:p>
        </w:tc>
      </w:tr>
      <w:tr>
        <w:tc>
          <w:tcPr>
            <w:tcW w:type="dxa" w:w="3096"/>
            <w:vAlign w:val="center"/>
          </w:tcPr>
          <w:p>
            <w:r/>
            <w:r>
              <w:rPr>
                <w:b w:val="0"/>
                <w:sz w:val="17"/>
              </w:rPr>
              <w:t>Dispensing source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Controlled list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Facility pharmacy / external pharmacy / other approved source.</w:t>
            </w:r>
          </w:p>
        </w:tc>
      </w:tr>
      <w:tr>
        <w:tc>
          <w:tcPr>
            <w:tcW w:type="dxa" w:w="3096"/>
            <w:vAlign w:val="center"/>
          </w:tcPr>
          <w:p>
            <w:r/>
            <w:r>
              <w:rPr>
                <w:b w:val="0"/>
                <w:sz w:val="17"/>
              </w:rPr>
              <w:t>Obtained/started by patient?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Yes/No/Unknown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May be completed during follow-up if not known at visit.</w:t>
            </w:r>
          </w:p>
        </w:tc>
      </w:tr>
      <w:tr>
        <w:tc>
          <w:tcPr>
            <w:tcW w:type="dxa" w:w="3096"/>
            <w:vAlign w:val="center"/>
          </w:tcPr>
          <w:p>
            <w:r/>
            <w:r>
              <w:rPr>
                <w:b w:val="0"/>
                <w:sz w:val="17"/>
              </w:rPr>
              <w:t>Actual start date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Date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If known.</w:t>
            </w:r>
          </w:p>
        </w:tc>
      </w:tr>
      <w:tr>
        <w:tc>
          <w:tcPr>
            <w:tcW w:type="dxa" w:w="3096"/>
            <w:vAlign w:val="center"/>
          </w:tcPr>
          <w:p>
            <w:r/>
            <w:r>
              <w:rPr>
                <w:b w:val="0"/>
                <w:sz w:val="17"/>
              </w:rPr>
              <w:t>Actual stop date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Date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Follow-up update.</w:t>
            </w:r>
          </w:p>
        </w:tc>
      </w:tr>
      <w:tr>
        <w:tc>
          <w:tcPr>
            <w:tcW w:type="dxa" w:w="3096"/>
            <w:vAlign w:val="center"/>
          </w:tcPr>
          <w:p>
            <w:r/>
            <w:r>
              <w:rPr>
                <w:b w:val="0"/>
                <w:sz w:val="17"/>
              </w:rPr>
              <w:t>Treatment modified?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Yes/No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If Yes, capture date, new treatment and documented reason.</w:t>
            </w:r>
          </w:p>
        </w:tc>
      </w:tr>
      <w:tr>
        <w:tc>
          <w:tcPr>
            <w:tcW w:type="dxa" w:w="3096"/>
            <w:vAlign w:val="center"/>
          </w:tcPr>
          <w:p>
            <w:r/>
            <w:r>
              <w:rPr>
                <w:b w:val="0"/>
                <w:sz w:val="17"/>
              </w:rPr>
              <w:t>Guideline/AST concordance variables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Derived/backend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Do not ask clinician to score themselves; derive from recorded clinical/treatment/lab data and approved reference rules.</w:t>
            </w:r>
          </w:p>
        </w:tc>
      </w:tr>
    </w:tbl>
    <w:p/>
    <w:p>
      <w:pPr>
        <w:pStyle w:val="Heading1"/>
      </w:pPr>
      <w:r>
        <w:t>8. Module B4 – Follow-up and Outcome</w:t>
      </w:r>
    </w:p>
    <w:p>
      <w:r>
        <w:t>Purpose: determine what happened after the initial clinical episode, including medication use/adherence, subsequent care and clinical outcome. The original framework anticipates follow-up around 7 or 14 days; the exact operational window should remain configurable according to the approved protocol.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096"/>
            <w:vAlign w:val="center"/>
            <w:shd w:fill="D9EAF7"/>
          </w:tcPr>
          <w:p>
            <w:r/>
            <w:r>
              <w:rPr>
                <w:b/>
                <w:sz w:val="17"/>
              </w:rPr>
              <w:t>Data element</w:t>
            </w:r>
          </w:p>
        </w:tc>
        <w:tc>
          <w:tcPr>
            <w:tcW w:type="dxa" w:w="2448"/>
            <w:vAlign w:val="center"/>
            <w:shd w:fill="D9EAF7"/>
          </w:tcPr>
          <w:p>
            <w:r/>
            <w:r>
              <w:rPr>
                <w:b/>
                <w:sz w:val="17"/>
              </w:rPr>
              <w:t>Recommended format</w:t>
            </w:r>
          </w:p>
        </w:tc>
        <w:tc>
          <w:tcPr>
            <w:tcW w:type="dxa" w:w="5328"/>
            <w:vAlign w:val="center"/>
            <w:shd w:fill="D9EAF7"/>
          </w:tcPr>
          <w:p>
            <w:r/>
            <w:r>
              <w:rPr>
                <w:b/>
                <w:sz w:val="17"/>
              </w:rPr>
              <w:t>Logic / implementation note</w:t>
            </w:r>
          </w:p>
        </w:tc>
      </w:tr>
      <w:tr>
        <w:tc>
          <w:tcPr>
            <w:tcW w:type="dxa" w:w="3096"/>
            <w:vAlign w:val="center"/>
          </w:tcPr>
          <w:p>
            <w:r/>
            <w:r>
              <w:rPr>
                <w:b w:val="0"/>
                <w:sz w:val="17"/>
              </w:rPr>
              <w:t>Follow-up target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System/configurable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e.g., Day 7 / Day 14 according to protocol.</w:t>
            </w:r>
          </w:p>
        </w:tc>
      </w:tr>
      <w:tr>
        <w:tc>
          <w:tcPr>
            <w:tcW w:type="dxa" w:w="3096"/>
            <w:vAlign w:val="center"/>
          </w:tcPr>
          <w:p>
            <w:r/>
            <w:r>
              <w:rPr>
                <w:b w:val="0"/>
                <w:sz w:val="17"/>
              </w:rPr>
              <w:t>Follow-up date/time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Date-time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Actual contact date/time.</w:t>
            </w:r>
          </w:p>
        </w:tc>
      </w:tr>
      <w:tr>
        <w:tc>
          <w:tcPr>
            <w:tcW w:type="dxa" w:w="3096"/>
            <w:vAlign w:val="center"/>
          </w:tcPr>
          <w:p>
            <w:r/>
            <w:r>
              <w:rPr>
                <w:b w:val="0"/>
                <w:sz w:val="17"/>
              </w:rPr>
              <w:t>Follow-up method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Controlled list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Telephone / in-person / record review / other approved method.</w:t>
            </w:r>
          </w:p>
        </w:tc>
      </w:tr>
      <w:tr>
        <w:tc>
          <w:tcPr>
            <w:tcW w:type="dxa" w:w="3096"/>
            <w:vAlign w:val="center"/>
          </w:tcPr>
          <w:p>
            <w:r/>
            <w:r>
              <w:rPr>
                <w:b w:val="0"/>
                <w:sz w:val="17"/>
              </w:rPr>
              <w:t>Contact successful?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Yes/No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If No, capture attempt/status without fabricating outcome.</w:t>
            </w:r>
          </w:p>
        </w:tc>
      </w:tr>
      <w:tr>
        <w:tc>
          <w:tcPr>
            <w:tcW w:type="dxa" w:w="3096"/>
            <w:vAlign w:val="center"/>
          </w:tcPr>
          <w:p>
            <w:r/>
            <w:r>
              <w:rPr>
                <w:b w:val="0"/>
                <w:sz w:val="17"/>
              </w:rPr>
              <w:t>Medication obtained?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Yes/No/Unknown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For prescribed treatment.</w:t>
            </w:r>
          </w:p>
        </w:tc>
      </w:tr>
      <w:tr>
        <w:tc>
          <w:tcPr>
            <w:tcW w:type="dxa" w:w="3096"/>
            <w:vAlign w:val="center"/>
          </w:tcPr>
          <w:p>
            <w:r/>
            <w:r>
              <w:rPr>
                <w:b w:val="0"/>
                <w:sz w:val="17"/>
              </w:rPr>
              <w:t>Medication taken as prescribed?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Yes/Partly/No/Unknown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Trigger reason when Partly/No.</w:t>
            </w:r>
          </w:p>
        </w:tc>
      </w:tr>
      <w:tr>
        <w:tc>
          <w:tcPr>
            <w:tcW w:type="dxa" w:w="3096"/>
            <w:vAlign w:val="center"/>
          </w:tcPr>
          <w:p>
            <w:r/>
            <w:r>
              <w:rPr>
                <w:b w:val="0"/>
                <w:sz w:val="17"/>
              </w:rPr>
              <w:t>Reason for non-adherence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Multi-select + Other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Affordability, access, side effects, felt better, forgot, advice/change, other approved categories.</w:t>
            </w:r>
          </w:p>
        </w:tc>
      </w:tr>
      <w:tr>
        <w:tc>
          <w:tcPr>
            <w:tcW w:type="dxa" w:w="3096"/>
            <w:vAlign w:val="center"/>
          </w:tcPr>
          <w:p>
            <w:r/>
            <w:r>
              <w:rPr>
                <w:b w:val="0"/>
                <w:sz w:val="17"/>
              </w:rPr>
              <w:t>Symptoms/status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Controlled + optional text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Resolved / improving / unchanged / worsening / other.</w:t>
            </w:r>
          </w:p>
        </w:tc>
      </w:tr>
      <w:tr>
        <w:tc>
          <w:tcPr>
            <w:tcW w:type="dxa" w:w="3096"/>
            <w:vAlign w:val="center"/>
          </w:tcPr>
          <w:p>
            <w:r/>
            <w:r>
              <w:rPr>
                <w:b w:val="0"/>
                <w:sz w:val="17"/>
              </w:rPr>
              <w:t>Additional healthcare sought?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Yes/No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If Yes, capture facility/referral/hospitalisation.</w:t>
            </w:r>
          </w:p>
        </w:tc>
      </w:tr>
      <w:tr>
        <w:tc>
          <w:tcPr>
            <w:tcW w:type="dxa" w:w="3096"/>
            <w:vAlign w:val="center"/>
          </w:tcPr>
          <w:p>
            <w:r/>
            <w:r>
              <w:rPr>
                <w:b w:val="0"/>
                <w:sz w:val="17"/>
              </w:rPr>
              <w:t>Hospitalised?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Yes/No/Unknown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Capture dates if available.</w:t>
            </w:r>
          </w:p>
        </w:tc>
      </w:tr>
      <w:tr>
        <w:tc>
          <w:tcPr>
            <w:tcW w:type="dxa" w:w="3096"/>
            <w:vAlign w:val="center"/>
          </w:tcPr>
          <w:p>
            <w:r/>
            <w:r>
              <w:rPr>
                <w:b w:val="0"/>
                <w:sz w:val="17"/>
              </w:rPr>
              <w:t>Treatment changed?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Yes/No/Unknown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Link new treatment record where available.</w:t>
            </w:r>
          </w:p>
        </w:tc>
      </w:tr>
      <w:tr>
        <w:tc>
          <w:tcPr>
            <w:tcW w:type="dxa" w:w="3096"/>
            <w:vAlign w:val="center"/>
          </w:tcPr>
          <w:p>
            <w:r/>
            <w:r>
              <w:rPr>
                <w:b w:val="0"/>
                <w:sz w:val="17"/>
              </w:rPr>
              <w:t>Outcome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Controlled list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Recovered/cured; ongoing illness; referred; hospitalised; died; lost to follow-up; other approved outcome.</w:t>
            </w:r>
          </w:p>
        </w:tc>
      </w:tr>
      <w:tr>
        <w:tc>
          <w:tcPr>
            <w:tcW w:type="dxa" w:w="3096"/>
            <w:vAlign w:val="center"/>
          </w:tcPr>
          <w:p>
            <w:r/>
            <w:r>
              <w:rPr>
                <w:b w:val="0"/>
                <w:sz w:val="17"/>
              </w:rPr>
              <w:t>Outcome date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Date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When known.</w:t>
            </w:r>
          </w:p>
        </w:tc>
      </w:tr>
      <w:tr>
        <w:tc>
          <w:tcPr>
            <w:tcW w:type="dxa" w:w="3096"/>
            <w:vAlign w:val="center"/>
          </w:tcPr>
          <w:p>
            <w:r/>
            <w:r>
              <w:rPr>
                <w:b w:val="0"/>
                <w:sz w:val="17"/>
              </w:rPr>
              <w:t>Outcome source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Controlled list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Patient/caregiver report / facility record / provider / other approved source.</w:t>
            </w:r>
          </w:p>
        </w:tc>
      </w:tr>
      <w:tr>
        <w:tc>
          <w:tcPr>
            <w:tcW w:type="dxa" w:w="3096"/>
            <w:vAlign w:val="center"/>
          </w:tcPr>
          <w:p>
            <w:r/>
            <w:r>
              <w:rPr>
                <w:b w:val="0"/>
                <w:sz w:val="17"/>
              </w:rPr>
              <w:t>Follow-up notes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Long text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Optional.</w:t>
            </w:r>
          </w:p>
        </w:tc>
      </w:tr>
    </w:tbl>
    <w:p/>
    <w:p>
      <w:pPr>
        <w:pStyle w:val="Heading1"/>
      </w:pPr>
      <w:r>
        <w:t>9. Referral and cross-facility continuity</w:t>
      </w:r>
    </w:p>
    <w:p>
      <w:r>
        <w:t>A referral must not create an unrelated patient record. The receiving facility should continue the same Episode_ID where the encounter belongs to the same illness episode. A new Encounter_ID can identify the receiving facility contact. Specimens may likewise be referred while retaining the originating Episode_ID and Specimen_ID.</w:t>
      </w:r>
    </w:p>
    <w:p>
      <w:pPr>
        <w:pStyle w:val="ListBullet"/>
      </w:pPr>
      <w:r>
        <w:t>Capture referral date/time, originating facility, destination facility, reason, patient-versus-specimen referral, and status.</w:t>
      </w:r>
    </w:p>
    <w:p>
      <w:pPr>
        <w:pStyle w:val="ListBullet"/>
      </w:pPr>
      <w:r>
        <w:t>Authorized receiving users should be able to retrieve the episode using a secure referral mechanism without exposing unnecessary identifying information.</w:t>
      </w:r>
    </w:p>
    <w:p>
      <w:pPr>
        <w:pStyle w:val="ListBullet"/>
      </w:pPr>
      <w:r>
        <w:t>Laboratory results should be linkable back to the requesting encounter and documented as communicated to authorized recipients.</w:t>
      </w:r>
    </w:p>
    <w:p>
      <w:pPr>
        <w:pStyle w:val="ListBullet"/>
      </w:pPr>
      <w:r>
        <w:t>Patient notifications should state that results are available and direct the patient to the appropriate healthcare provider; the silent-mode AI must not provide treatment recommendations.</w:t>
      </w:r>
    </w:p>
    <w:p>
      <w:pPr>
        <w:pStyle w:val="Heading1"/>
      </w:pPr>
      <w:r>
        <w:t>10. Silent-mode AI backend requirements</w:t>
      </w:r>
    </w:p>
    <w:p>
      <w:r>
        <w:t>Stream B supplies structured real-world clinical data for backend validation of the AI-CDSS. During silent-mode evaluation, model outputs are research/backend data and must not alter routine clinical care.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168"/>
            <w:vAlign w:val="center"/>
            <w:shd w:fill="D9EAF7"/>
          </w:tcPr>
          <w:p>
            <w:r/>
            <w:r>
              <w:rPr>
                <w:b/>
                <w:sz w:val="17"/>
              </w:rPr>
              <w:t>Requirement</w:t>
            </w:r>
          </w:p>
        </w:tc>
        <w:tc>
          <w:tcPr>
            <w:tcW w:type="dxa" w:w="7704"/>
            <w:vAlign w:val="center"/>
            <w:shd w:fill="D9EAF7"/>
          </w:tcPr>
          <w:p>
            <w:r/>
            <w:r>
              <w:rPr>
                <w:b/>
                <w:sz w:val="17"/>
              </w:rPr>
              <w:t>Developer implementation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Input snapshot</w:t>
            </w:r>
          </w:p>
        </w:tc>
        <w:tc>
          <w:tcPr>
            <w:tcW w:type="dxa" w:w="7704"/>
            <w:vAlign w:val="center"/>
          </w:tcPr>
          <w:p>
            <w:r/>
            <w:r>
              <w:rPr>
                <w:b w:val="0"/>
                <w:sz w:val="17"/>
              </w:rPr>
              <w:t>Store the exact version/timestamp of clinical data available when an AI prediction is generated.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Prediction record</w:t>
            </w:r>
          </w:p>
        </w:tc>
        <w:tc>
          <w:tcPr>
            <w:tcW w:type="dxa" w:w="7704"/>
            <w:vAlign w:val="center"/>
          </w:tcPr>
          <w:p>
            <w:r/>
            <w:r>
              <w:rPr>
                <w:b w:val="0"/>
                <w:sz w:val="17"/>
              </w:rPr>
              <w:t>Store model version, prediction timestamp and output variables in a research-only backend table.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No clinical display</w:t>
            </w:r>
          </w:p>
        </w:tc>
        <w:tc>
          <w:tcPr>
            <w:tcW w:type="dxa" w:w="7704"/>
            <w:vAlign w:val="center"/>
          </w:tcPr>
          <w:p>
            <w:r/>
            <w:r>
              <w:rPr>
                <w:b w:val="0"/>
                <w:sz w:val="17"/>
              </w:rPr>
              <w:t>Do not expose predictions/recommendations to clinicians, patients, pharmacists or laboratory staff during silent mode.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Reference outcome linkage</w:t>
            </w:r>
          </w:p>
        </w:tc>
        <w:tc>
          <w:tcPr>
            <w:tcW w:type="dxa" w:w="7704"/>
            <w:vAlign w:val="center"/>
          </w:tcPr>
          <w:p>
            <w:r/>
            <w:r>
              <w:rPr>
                <w:b w:val="0"/>
                <w:sz w:val="17"/>
              </w:rPr>
              <w:t>Allow later linkage of prediction to observed laboratory, treatment and outcome data.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Guideline concordance</w:t>
            </w:r>
          </w:p>
        </w:tc>
        <w:tc>
          <w:tcPr>
            <w:tcW w:type="dxa" w:w="7704"/>
            <w:vAlign w:val="center"/>
          </w:tcPr>
          <w:p>
            <w:r/>
            <w:r>
              <w:rPr>
                <w:b w:val="0"/>
                <w:sz w:val="17"/>
              </w:rPr>
              <w:t>Calculate as a derived research variable using approved guideline/version and recorded care data.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Auditability</w:t>
            </w:r>
          </w:p>
        </w:tc>
        <w:tc>
          <w:tcPr>
            <w:tcW w:type="dxa" w:w="7704"/>
            <w:vAlign w:val="center"/>
          </w:tcPr>
          <w:p>
            <w:r/>
            <w:r>
              <w:rPr>
                <w:b w:val="0"/>
                <w:sz w:val="17"/>
              </w:rPr>
              <w:t>Log model version, data version and processing status for reproducibility.</w:t>
            </w:r>
          </w:p>
        </w:tc>
      </w:tr>
    </w:tbl>
    <w:p/>
    <w:p>
      <w:pPr>
        <w:pStyle w:val="Heading1"/>
      </w:pPr>
      <w:r>
        <w:t>11. Role-based access and 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384"/>
            <w:vAlign w:val="center"/>
            <w:shd w:fill="D9EAF7"/>
          </w:tcPr>
          <w:p>
            <w:r/>
            <w:r>
              <w:rPr>
                <w:b/>
                <w:sz w:val="17"/>
              </w:rPr>
              <w:t>Role</w:t>
            </w:r>
          </w:p>
        </w:tc>
        <w:tc>
          <w:tcPr>
            <w:tcW w:type="dxa" w:w="7488"/>
            <w:vAlign w:val="center"/>
            <w:shd w:fill="D9EAF7"/>
          </w:tcPr>
          <w:p>
            <w:r/>
            <w:r>
              <w:rPr>
                <w:b/>
                <w:sz w:val="17"/>
              </w:rPr>
              <w:t>Primary permitted functions</w:t>
            </w:r>
          </w:p>
        </w:tc>
      </w:tr>
      <w:tr>
        <w:tc>
          <w:tcPr>
            <w:tcW w:type="dxa" w:w="3384"/>
            <w:vAlign w:val="center"/>
          </w:tcPr>
          <w:p>
            <w:r/>
            <w:r>
              <w:rPr>
                <w:b w:val="0"/>
                <w:sz w:val="17"/>
              </w:rPr>
              <w:t>Research enrolment/data collector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sz w:val="17"/>
              </w:rPr>
              <w:t>Consent, participant registration, create Episode_ID, approved study fields.</w:t>
            </w:r>
          </w:p>
        </w:tc>
      </w:tr>
      <w:tr>
        <w:tc>
          <w:tcPr>
            <w:tcW w:type="dxa" w:w="3384"/>
            <w:vAlign w:val="center"/>
          </w:tcPr>
          <w:p>
            <w:r/>
            <w:r>
              <w:rPr>
                <w:b w:val="0"/>
                <w:sz w:val="17"/>
              </w:rPr>
              <w:t>Clinician / clinical data user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sz w:val="17"/>
              </w:rPr>
              <w:t>Clinical episode/encounter fields and routine treatment documentation as authorized.</w:t>
            </w:r>
          </w:p>
        </w:tc>
      </w:tr>
      <w:tr>
        <w:tc>
          <w:tcPr>
            <w:tcW w:type="dxa" w:w="3384"/>
            <w:vAlign w:val="center"/>
          </w:tcPr>
          <w:p>
            <w:r/>
            <w:r>
              <w:rPr>
                <w:b w:val="0"/>
                <w:sz w:val="17"/>
              </w:rPr>
              <w:t>Laboratory user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sz w:val="17"/>
              </w:rPr>
              <w:t>Specimen receipt/status, test results, organism and AST data, result communication.</w:t>
            </w:r>
          </w:p>
        </w:tc>
      </w:tr>
      <w:tr>
        <w:tc>
          <w:tcPr>
            <w:tcW w:type="dxa" w:w="3384"/>
            <w:vAlign w:val="center"/>
          </w:tcPr>
          <w:p>
            <w:r/>
            <w:r>
              <w:rPr>
                <w:b w:val="0"/>
                <w:sz w:val="17"/>
              </w:rPr>
              <w:t>Pharmacy/treatment user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sz w:val="17"/>
              </w:rPr>
              <w:t>Dispensing/treatment fields as authorized.</w:t>
            </w:r>
          </w:p>
        </w:tc>
      </w:tr>
      <w:tr>
        <w:tc>
          <w:tcPr>
            <w:tcW w:type="dxa" w:w="3384"/>
            <w:vAlign w:val="center"/>
          </w:tcPr>
          <w:p>
            <w:r/>
            <w:r>
              <w:rPr>
                <w:b w:val="0"/>
                <w:sz w:val="17"/>
              </w:rPr>
              <w:t>Follow-up user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sz w:val="17"/>
              </w:rPr>
              <w:t>Scheduled follow-up, adherence and outcome fields.</w:t>
            </w:r>
          </w:p>
        </w:tc>
      </w:tr>
      <w:tr>
        <w:tc>
          <w:tcPr>
            <w:tcW w:type="dxa" w:w="3384"/>
            <w:vAlign w:val="center"/>
          </w:tcPr>
          <w:p>
            <w:r/>
            <w:r>
              <w:rPr>
                <w:b w:val="0"/>
                <w:sz w:val="17"/>
              </w:rPr>
              <w:t>Research administrator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sz w:val="17"/>
              </w:rPr>
              <w:t>Site configuration, data-quality review, controlled corrections, user management.</w:t>
            </w:r>
          </w:p>
        </w:tc>
      </w:tr>
      <w:tr>
        <w:tc>
          <w:tcPr>
            <w:tcW w:type="dxa" w:w="3384"/>
            <w:vAlign w:val="center"/>
          </w:tcPr>
          <w:p>
            <w:r/>
            <w:r>
              <w:rPr>
                <w:b w:val="0"/>
                <w:sz w:val="17"/>
              </w:rPr>
              <w:t>AI backend/research service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sz w:val="17"/>
              </w:rPr>
              <w:t>Read approved de-identified Stream B variables; write silent-mode prediction records only.</w:t>
            </w:r>
          </w:p>
        </w:tc>
      </w:tr>
    </w:tbl>
    <w:p/>
    <w:p>
      <w:pPr>
        <w:pStyle w:val="Heading1"/>
      </w:pPr>
      <w:r>
        <w:t>12. Data quality, validation and audit requirements</w:t>
      </w:r>
    </w:p>
    <w:p>
      <w:pPr>
        <w:pStyle w:val="ListBullet"/>
      </w:pPr>
      <w:r>
        <w:t>Use controlled vocabularies for facilities, specimens, organisms, antibiotics, medication routes and outcome categories wherever possible; retain 'Other, specify' when required.</w:t>
      </w:r>
    </w:p>
    <w:p>
      <w:pPr>
        <w:pStyle w:val="ListBullet"/>
      </w:pPr>
      <w:r>
        <w:t>Use repeatable child records for specimens, organism–antibiotic AST pairs, medications, referrals and follow-ups.</w:t>
      </w:r>
    </w:p>
    <w:p>
      <w:pPr>
        <w:pStyle w:val="ListBullet"/>
      </w:pPr>
      <w:r>
        <w:t>Prevent impossible dates (e.g., result before specimen collection) while allowing authorized correction with an audit trail.</w:t>
      </w:r>
    </w:p>
    <w:p>
      <w:pPr>
        <w:pStyle w:val="ListBullet"/>
      </w:pPr>
      <w:r>
        <w:t>Do not overwrite historical clinical events silently. Corrections should preserve who changed what, when and why.</w:t>
      </w:r>
    </w:p>
    <w:p>
      <w:pPr>
        <w:pStyle w:val="ListBullet"/>
      </w:pPr>
      <w:r>
        <w:t>Support incomplete/pending states because laboratory and follow-up data become available after the initial encounter.</w:t>
      </w:r>
    </w:p>
    <w:p>
      <w:pPr>
        <w:pStyle w:val="ListBullet"/>
      </w:pPr>
      <w:r>
        <w:t>Distinguish No, Not done, Not applicable, Unknown and Missing where they have different meanings.</w:t>
      </w:r>
    </w:p>
    <w:p>
      <w:pPr>
        <w:pStyle w:val="ListBullet"/>
      </w:pPr>
      <w:r>
        <w:t>All exports for analysis should use coded IDs rather than names/telephone numbers.</w:t>
      </w:r>
    </w:p>
    <w:p>
      <w:pPr>
        <w:pStyle w:val="ListBullet"/>
      </w:pPr>
      <w:r>
        <w:t>Maintain a data dictionary with variable name, label, type, allowable values, module, required status and derivation rule.</w:t>
      </w:r>
    </w:p>
    <w:p>
      <w:pPr>
        <w:pStyle w:val="Heading1"/>
      </w:pPr>
      <w:r>
        <w:t>13. Notifications and follow-up scheduling</w:t>
      </w:r>
    </w:p>
    <w:p>
      <w:r>
        <w:t>The system may support protocol-approved operational reminders for research follow-up and notification that routine laboratory results are available. Notification content must not disclose sensitive clinical details unnecessarily and must not contain AI-generated treatment recommendations during silent mode.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7"/>
              </w:rPr>
              <w:t>Trigger</w:t>
            </w:r>
          </w:p>
        </w:tc>
        <w:tc>
          <w:tcPr>
            <w:tcW w:type="dxa" w:w="7416"/>
            <w:vAlign w:val="center"/>
            <w:shd w:fill="D9EAF7"/>
          </w:tcPr>
          <w:p>
            <w:r/>
            <w:r>
              <w:rPr>
                <w:b/>
                <w:sz w:val="17"/>
              </w:rPr>
              <w:t>Potential system action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Laboratory result completed</w:t>
            </w:r>
          </w:p>
        </w:tc>
        <w:tc>
          <w:tcPr>
            <w:tcW w:type="dxa" w:w="7416"/>
            <w:vAlign w:val="center"/>
          </w:tcPr>
          <w:p>
            <w:r/>
            <w:r>
              <w:rPr>
                <w:b w:val="0"/>
                <w:sz w:val="17"/>
              </w:rPr>
              <w:t>Notify authorized provider/work queue; optional protocol-approved patient availability notification.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Follow-up due</w:t>
            </w:r>
          </w:p>
        </w:tc>
        <w:tc>
          <w:tcPr>
            <w:tcW w:type="dxa" w:w="7416"/>
            <w:vAlign w:val="center"/>
          </w:tcPr>
          <w:p>
            <w:r/>
            <w:r>
              <w:rPr>
                <w:b w:val="0"/>
                <w:sz w:val="17"/>
              </w:rPr>
              <w:t>Create research follow-up task around the configured Day 7/Day 14 window.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Unsuccessful follow-up</w:t>
            </w:r>
          </w:p>
        </w:tc>
        <w:tc>
          <w:tcPr>
            <w:tcW w:type="dxa" w:w="7416"/>
            <w:vAlign w:val="center"/>
          </w:tcPr>
          <w:p>
            <w:r/>
            <w:r>
              <w:rPr>
                <w:b w:val="0"/>
                <w:sz w:val="17"/>
              </w:rPr>
              <w:t>Record attempt and schedule permitted retry according to protocol.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Referral created</w:t>
            </w:r>
          </w:p>
        </w:tc>
        <w:tc>
          <w:tcPr>
            <w:tcW w:type="dxa" w:w="7416"/>
            <w:vAlign w:val="center"/>
          </w:tcPr>
          <w:p>
            <w:r/>
            <w:r>
              <w:rPr>
                <w:b w:val="0"/>
                <w:sz w:val="17"/>
              </w:rPr>
              <w:t>Create secure receiving-facility/referral work item where supported.</w:t>
            </w:r>
          </w:p>
        </w:tc>
      </w:tr>
    </w:tbl>
    <w:p/>
    <w:p>
      <w:pPr>
        <w:pStyle w:val="Heading1"/>
      </w:pPr>
      <w:r>
        <w:t>14. Items requiring research-team confirmation before production deployment</w:t>
      </w:r>
    </w:p>
    <w:p>
      <w:pPr>
        <w:pStyle w:val="ListBullet"/>
      </w:pPr>
      <w:r>
        <w:t>Final Stream B inclusion/exclusion criteria and consent workflow.</w:t>
      </w:r>
    </w:p>
    <w:p>
      <w:pPr>
        <w:pStyle w:val="ListBullet"/>
      </w:pPr>
      <w:r>
        <w:t>Exact participating facilities and service points.</w:t>
      </w:r>
    </w:p>
    <w:p>
      <w:pPr>
        <w:pStyle w:val="ListBullet"/>
      </w:pPr>
      <w:r>
        <w:t>Approved clinical variables and controlled lists for symptoms, diagnoses, specimens and tests.</w:t>
      </w:r>
    </w:p>
    <w:p>
      <w:pPr>
        <w:pStyle w:val="ListBullet"/>
      </w:pPr>
      <w:r>
        <w:t>Approved antibiotic/formulary dictionary and AST interpretation standard used by participating laboratories.</w:t>
      </w:r>
    </w:p>
    <w:p>
      <w:pPr>
        <w:pStyle w:val="ListBullet"/>
      </w:pPr>
      <w:r>
        <w:t>Exact follow-up schedule/window (e.g., Day 7, Day 14, or both) and permitted contact attempts.</w:t>
      </w:r>
    </w:p>
    <w:p>
      <w:pPr>
        <w:pStyle w:val="ListBullet"/>
      </w:pPr>
      <w:r>
        <w:t>Final outcome categories and definitions.</w:t>
      </w:r>
    </w:p>
    <w:p>
      <w:pPr>
        <w:pStyle w:val="ListBullet"/>
      </w:pPr>
      <w:r>
        <w:t>Whether residence, insurance, comorbidities and other baseline variables are collected directly in Stream B or reused from another approved participant record.</w:t>
      </w:r>
    </w:p>
    <w:p>
      <w:pPr>
        <w:pStyle w:val="ListBullet"/>
      </w:pPr>
      <w:r>
        <w:t>Rules for defining when a returning patient represents the same Episode_ID versus a new Episode_ID.</w:t>
      </w:r>
    </w:p>
    <w:p>
      <w:pPr>
        <w:pStyle w:val="ListBullet"/>
      </w:pPr>
      <w:r>
        <w:t>Final protocol for cross-facility referral access and laboratory-result communication.</w:t>
      </w:r>
    </w:p>
    <w:p>
      <w:pPr>
        <w:pStyle w:val="ListBullet"/>
      </w:pPr>
      <w:r>
        <w:t>Exact silent-mode AI outputs, validation endpoints and model-versioning requirements.</w:t>
      </w:r>
    </w:p>
    <w:p>
      <w:pPr>
        <w:pStyle w:val="Heading1"/>
      </w:pPr>
      <w:r>
        <w:t>15. Developer implementation summary</w:t>
      </w:r>
    </w:p>
    <w:p>
      <w:r>
        <w:t>Stream B should be implemented as a longitudinal relational workflow rather than a single long questionnaire. The patient is the parent entity; each illness episode is a child entity, and encounters, specimens/AST records, treatments and follow-ups are linked children of that episode. This architecture preserves the actual sequence of care and supports later analysis of diagnostic pathways, antimicrobial use, AST-informed treatment, guideline concordance, treatment modification and patient outcomes.</w:t>
      </w:r>
    </w:p>
    <w:p>
      <w:r>
        <w:rPr>
          <w:b/>
        </w:rPr>
        <w:t xml:space="preserve">Developer pathway summary: </w:t>
      </w:r>
      <w:r>
        <w:t>Patient → Episode → Encounter/Clinical Assessment → Laboratory/AST (if applicable) → Treatment → Follow-up/Outcome.</w:t>
      </w:r>
    </w:p>
    <w:p>
      <w:pPr>
        <w:pStyle w:val="Heading1"/>
      </w:pPr>
      <w:r>
        <w:t>Appendix A. Source-framework mapping</w:t>
      </w:r>
    </w:p>
    <w:p>
      <w:r>
        <w:t>This Stream B specification operationalizes the patient-care cascade described in the research team's original data-collection framework: patient care status and demographics; complaints and symptom duration; suspected/presumptive diagnosis; clinical decisions and triage; laboratory requests/specimens/referral; pathogen identification and AST; communication of results; medication name/dose/route/timing; and patient outcomes. The specification reorganizes those elements into linked WebApp modules so that the developer can implement them as longitudinal records rather than a flat questionnaire.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AI-CDSS Stream B Developer Specification | UR IRB Ref. No. 279/CMHSIRB/2026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