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dữ liệu Math Data Lake — hướng dẫn cho Nhóm 2–8</w:t>
      </w:r>
    </w:p>
    <w:p>
      <w:pPr>
        <w:spacing w:after="80"/>
      </w:pPr>
      <w:r>
        <w:t xml:space="preserve">Khởi động (máy có kho): </w:t>
      </w:r>
      <w:r>
        <w:rPr>
          <w:rFonts w:ascii="Consolas" w:hAnsi="Consolas"/>
          <w:color w:val="8B1A1A"/>
          <w:sz w:val="19"/>
        </w:rPr>
        <w:t>python scripts/mdl.py serve --port 8000</w:t>
      </w:r>
      <w:r>
        <w:t xml:space="preserve"> → tài liệu tương tác OpenAPI tại </w:t>
      </w:r>
      <w:r>
        <w:rPr>
          <w:rFonts w:ascii="Consolas" w:hAnsi="Consolas"/>
          <w:color w:val="8B1A1A"/>
          <w:sz w:val="19"/>
        </w:rPr>
        <w:t>http://localhost:8000/docs</w:t>
      </w:r>
      <w:r>
        <w:t xml:space="preserve">. Không có kho đầy đủ? Dùng mock input </w:t>
      </w:r>
      <w:r>
        <w:rPr>
          <w:rFonts w:ascii="Consolas" w:hAnsi="Consolas"/>
          <w:color w:val="8B1A1A"/>
          <w:sz w:val="19"/>
        </w:rPr>
        <w:t>data_sample/curated/math_record_sample.parquet</w:t>
      </w:r>
      <w:r>
        <w:t xml:space="preserve"> (cùng lược đồ, cùng </w:t>
      </w:r>
      <w:r>
        <w:rPr>
          <w:rFonts w:ascii="Consolas" w:hAnsi="Consolas"/>
          <w:color w:val="8B1A1A"/>
          <w:sz w:val="19"/>
        </w:rPr>
        <w:t>record_id</w:t>
      </w:r>
      <w:r>
        <w:t>).</w:t>
      </w:r>
    </w:p>
    <w:p>
      <w:pPr>
        <w:pStyle w:val="Heading2"/>
      </w:pPr>
      <w:r>
        <w:t>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Phương thức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Đường dẫn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Tham số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Trả về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Nhóm dùng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/health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bản ghi, phiên bản lược đồ/pipeline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tất cả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/stats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bản ghi theo nguồn/phiên bản/split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tất cả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/records/{record_id}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record_id</w:t>
            </w:r>
            <w:r>
              <w:rPr>
                <w:sz w:val="18"/>
              </w:rPr>
              <w:t xml:space="preserve"> 20 ký tự hex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một bản ghi đầy đủ 37 cột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tất cả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/records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split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subset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has_lean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record_type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fields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limit</w:t>
            </w:r>
            <w:r>
              <w:rPr>
                <w:sz w:val="18"/>
              </w:rPr>
              <w:t xml:space="preserve"> ≤ 1000, </w:t>
            </w:r>
            <w:r>
              <w:rPr>
                <w:rFonts w:ascii="Consolas" w:hAnsi="Consolas"/>
                <w:color w:val="8B1A1A"/>
                <w:sz w:val="18"/>
              </w:rPr>
              <w:t>after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trang bản ghi + </w:t>
            </w:r>
            <w:r>
              <w:rPr>
                <w:rFonts w:ascii="Consolas" w:hAnsi="Consolas"/>
                <w:color w:val="8B1A1A"/>
                <w:sz w:val="18"/>
              </w:rPr>
              <w:t>next_after</w:t>
            </w:r>
            <w:r>
              <w:rPr>
                <w:sz w:val="18"/>
              </w:rPr>
              <w:t xml:space="preserve"> (phân trang theo khóa)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2, 5, 8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/premises/{premise}/theorems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limit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định lý LeanDojo dùng premise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3, 4, 7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/pairs/nl-formal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split</w:t>
            </w:r>
            <w:r>
              <w:rPr>
                <w:sz w:val="18"/>
              </w:rPr>
              <w:t xml:space="preserve"> = valid/test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cặp NL – Lean 3 (ProofNet)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5, 6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/provenance/{record_id}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tệp raw, dòng, sha256 hợp lệ?, các trường đối chiếu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2, kiểm toán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/catalog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catalog JSON (cột, partition, lịch sử nạp, chất lượng)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tất cả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/export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source</w:t>
            </w:r>
            <w:r>
              <w:rPr>
                <w:sz w:val="18"/>
              </w:rPr>
              <w:t xml:space="preserve"> (bắt buộc), </w:t>
            </w:r>
            <w:r>
              <w:rPr>
                <w:rFonts w:ascii="Consolas" w:hAnsi="Consolas"/>
                <w:color w:val="8B1A1A"/>
                <w:sz w:val="18"/>
              </w:rPr>
              <w:t>split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fields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fmt</w:t>
            </w:r>
            <w:r>
              <w:rPr>
                <w:sz w:val="18"/>
              </w:rPr>
              <w:t xml:space="preserve"> = parquet/jsonl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tệp tải về (ghi theo batch, RAM ổn định)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2, 3, 4, 7</w:t>
            </w:r>
          </w:p>
        </w:tc>
      </w:tr>
    </w:tbl>
    <w:p/>
    <w:p>
      <w:pPr>
        <w:spacing w:after="80"/>
      </w:pPr>
      <w:r>
        <w:t xml:space="preserve">Bảo vệ đầu vào: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phải khớp </w:t>
      </w:r>
      <w:r>
        <w:rPr>
          <w:rFonts w:ascii="Consolas" w:hAnsi="Consolas"/>
          <w:color w:val="8B1A1A"/>
          <w:sz w:val="19"/>
        </w:rPr>
        <w:t>^[0-9a-f]{20}$</w:t>
      </w:r>
      <w:r>
        <w:t xml:space="preserve">; </w:t>
      </w:r>
      <w:r>
        <w:rPr>
          <w:rFonts w:ascii="Consolas" w:hAnsi="Consolas"/>
          <w:color w:val="8B1A1A"/>
          <w:sz w:val="19"/>
        </w:rPr>
        <w:t>source</w:t>
      </w:r>
      <w:r>
        <w:t xml:space="preserve">, </w:t>
      </w:r>
      <w:r>
        <w:rPr>
          <w:rFonts w:ascii="Consolas" w:hAnsi="Consolas"/>
          <w:color w:val="8B1A1A"/>
          <w:sz w:val="19"/>
        </w:rPr>
        <w:t>record_type</w:t>
      </w:r>
      <w:r>
        <w:t xml:space="preserve">, </w:t>
      </w:r>
      <w:r>
        <w:rPr>
          <w:rFonts w:ascii="Consolas" w:hAnsi="Consolas"/>
          <w:color w:val="8B1A1A"/>
          <w:sz w:val="19"/>
        </w:rPr>
        <w:t>split</w:t>
      </w:r>
      <w:r>
        <w:t xml:space="preserve"> của ProofNet kiểm theo miền giá trị; </w:t>
      </w:r>
      <w:r>
        <w:rPr>
          <w:rFonts w:ascii="Consolas" w:hAnsi="Consolas"/>
          <w:color w:val="8B1A1A"/>
          <w:sz w:val="19"/>
        </w:rPr>
        <w:t>fields</w:t>
      </w:r>
      <w:r>
        <w:t xml:space="preserve"> chỉ nhận tên cột trong lược đồ; mọi giá trị truyền dạng tham số SQL.</w:t>
      </w:r>
    </w:p>
    <w:p>
      <w:pPr>
        <w:pStyle w:val="Heading2"/>
      </w:pPr>
      <w:r>
        <w:t>Client Python</w:t>
      </w:r>
    </w:p>
    <w:p>
      <w:pPr>
        <w:ind w:left="283"/>
      </w:pPr>
      <w:r>
        <w:rPr>
          <w:rFonts w:ascii="Consolas" w:hAnsi="Consolas"/>
          <w:sz w:val="17"/>
        </w:rPr>
        <w:t>from mdl.client import MathLakeClient</w:t>
        <w:br/>
        <w:t>c = MathLakeClient("http://localhost:8000")</w:t>
        <w:br/>
        <w:t>c.health()</w:t>
        <w:br/>
        <w:t>pairs = c.nl_formal_pairs(split="test")                                   # Nhóm 5</w:t>
        <w:br/>
        <w:t>for r in c.iter_records(source="numinamath", subset="olympiads",</w:t>
        <w:br/>
        <w:t xml:space="preserve">                        fields="record_id,nl_problem,content_sha256"):    # Nhóm 2, 8</w:t>
        <w:br/>
        <w:t xml:space="preserve">    ...</w:t>
        <w:br/>
        <w:t>c.theorems_using("Nat.succ_le_iff")                                       # Nhóm 3, 4</w:t>
        <w:br/>
        <w:t>c.export("leandojo", split="test", path="leandojo_test.parquet")          # Nhóm 3, 4, 7</w:t>
        <w:br/>
        <w:t>c.provenance("00f6e184715f8cd8dbe9")</w:t>
      </w:r>
    </w:p>
    <w:p>
      <w:pPr>
        <w:pStyle w:val="Heading2"/>
      </w:pPr>
      <w:r>
        <w:t>Hiệu năng đo được (kho 982.477 bản ghi, 1 tiến trình uvicorn, DuckDB 4 luồng/1 GB)</w:t>
      </w:r>
    </w:p>
    <w:p>
      <w:pPr>
        <w:spacing w:after="80"/>
      </w:pPr>
      <w:r>
        <w:t xml:space="preserve">Hỗn hợp truy vấn: 70% tra cứu </w:t>
      </w:r>
      <w:r>
        <w:rPr>
          <w:rFonts w:ascii="Consolas" w:hAnsi="Consolas"/>
          <w:color w:val="8B1A1A"/>
          <w:sz w:val="19"/>
        </w:rPr>
        <w:t>record_id</w:t>
      </w:r>
      <w:r>
        <w:t>, 20% lọc theo nguồn/subset (50 bản ghi), 10% tra premise; 1.500 request mỗi mức; 3 lần.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Client đồng thời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QPS median (min–max)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P50 ms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P95 ms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P99 ms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Lỗi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RSS server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31,6 (30,3–34,0)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28,5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57,1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62,2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≤ 480 MB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85,0 (75,1–129,5)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119,9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169,1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181,3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≤ 480 MB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88,5 (79,9–103,9)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569,1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772,9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880,7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≤ 483 MB</w:t>
            </w:r>
          </w:p>
        </w:tc>
      </w:tr>
    </w:tbl>
    <w:p/>
    <w:p>
      <w:pPr>
        <w:spacing w:after="80"/>
      </w:pPr>
      <w:r>
        <w:t>Thông lượng bão hòa ở ~85–130 QPS từ 10 client; với 50 client độ trễ tăng do xếp hàng (một tiến trình). Thông lượng ở 10 client giảm qua 3 lần lặp (129,5 → 85,0 → 75,1) — chưa xác định nguyên nhân (nghi bộ đệm/điều tiết nhiệt), nên báo cáo median và khoảng.</w:t>
      </w:r>
    </w:p>
    <w:p>
      <w:pPr>
        <w:spacing w:after="80"/>
      </w:pPr>
      <w:r>
        <w:rPr>
          <w:b/>
        </w:rPr>
        <w:t>Hướng tối ưu khi cần tải lớn hơn:</w:t>
      </w:r>
      <w:r>
        <w:t xml:space="preserve"> nhiều worker uvicorn; bảng chỉ mục </w:t>
      </w:r>
      <w:r>
        <w:rPr>
          <w:rFonts w:ascii="Consolas" w:hAnsi="Consolas"/>
          <w:color w:val="8B1A1A"/>
          <w:sz w:val="19"/>
        </w:rPr>
        <w:t>record_id → tệp/row group</w:t>
      </w:r>
      <w:r>
        <w:t xml:space="preserve"> nạp sẵn vào RAM; cache kết quả lọc hay dùng.</w:t>
      </w:r>
    </w:p>
    <w:p>
      <w:pPr>
        <w:pStyle w:val="Heading2"/>
      </w:pPr>
      <w:r>
        <w:t>Hợp đồng</w:t>
      </w:r>
    </w:p>
    <w:p>
      <w:pPr>
        <w:spacing w:after="80"/>
      </w:pPr>
      <w:r>
        <w:t xml:space="preserve">Lược đồ và bảo đảm: </w:t>
      </w:r>
      <w:r>
        <w:rPr>
          <w:rFonts w:ascii="Consolas" w:hAnsi="Consolas"/>
          <w:color w:val="8B1A1A"/>
          <w:sz w:val="19"/>
        </w:rPr>
        <w:t>docs/data_contract.md</w:t>
      </w:r>
      <w:r>
        <w:t xml:space="preserve"> (v1.0). Thay đổi phá vỡ tương thích được báo trước 1 tuần, giữ bản cũ song song.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