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tuần 4 — Spark ETL v0.1, kiểm thử lược đồ và tỷ lệ lỗi (checkpoint report)</w:t>
      </w:r>
    </w:p>
    <w:p>
      <w:pPr>
        <w:spacing w:after="80"/>
      </w:pPr>
      <w:r>
        <w:rPr>
          <w:b/>
        </w:rPr>
        <w:t>Nhóm 1 — Math Data Lake</w:t>
      </w:r>
      <w:r>
        <w:t xml:space="preserve"> · INT4418 Dữ liệu lớn</w:t>
      </w:r>
    </w:p>
    <w:p>
      <w:pPr>
        <w:pStyle w:val="Heading2"/>
      </w:pPr>
      <w:r>
        <w:t>1. Nhiệm vụ và minh chứng</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7E6E6"/>
          </w:tcPr>
          <w:p>
            <w:r>
              <w:rPr>
                <w:b/>
              </w:rPr>
            </w:r>
            <w:r>
              <w:rPr>
                <w:b/>
                <w:sz w:val="20"/>
              </w:rPr>
              <w:t>Yêu cầu tuần 4</w:t>
            </w:r>
          </w:p>
        </w:tc>
        <w:tc>
          <w:tcPr>
            <w:tcW w:type="dxa" w:w="3249"/>
            <w:shd w:val="clear" w:color="auto" w:fill="E7E6E6"/>
          </w:tcPr>
          <w:p>
            <w:r>
              <w:rPr>
                <w:b/>
              </w:rPr>
            </w:r>
            <w:r>
              <w:rPr>
                <w:b/>
                <w:sz w:val="20"/>
              </w:rPr>
              <w:t>Minh chứng</w:t>
            </w:r>
          </w:p>
        </w:tc>
        <w:tc>
          <w:tcPr>
            <w:tcW w:type="dxa" w:w="3249"/>
            <w:shd w:val="clear" w:color="auto" w:fill="E7E6E6"/>
          </w:tcPr>
          <w:p>
            <w:r>
              <w:rPr>
                <w:b/>
              </w:rPr>
            </w:r>
            <w:r>
              <w:rPr>
                <w:b/>
                <w:sz w:val="20"/>
              </w:rPr>
              <w:t>Trạng thái</w:t>
            </w:r>
          </w:p>
        </w:tc>
      </w:tr>
      <w:tr>
        <w:tc>
          <w:tcPr>
            <w:tcW w:type="dxa" w:w="3249"/>
          </w:tcPr>
          <w:p>
            <w:r/>
            <w:r>
              <w:rPr>
                <w:sz w:val="20"/>
              </w:rPr>
              <w:t>Pipeline Spark v0.1</w:t>
            </w:r>
          </w:p>
        </w:tc>
        <w:tc>
          <w:tcPr>
            <w:tcW w:type="dxa" w:w="3249"/>
          </w:tcPr>
          <w:p>
            <w:r/>
            <w:r>
              <w:rPr>
                <w:rFonts w:ascii="Consolas" w:hAnsi="Consolas"/>
                <w:color w:val="000000"/>
                <w:sz w:val="20"/>
              </w:rPr>
              <w:t>src/mdl/spark_etl.py</w:t>
            </w:r>
            <w:r>
              <w:rPr>
                <w:sz w:val="20"/>
              </w:rPr>
              <w:t xml:space="preserve">: staging JSONL → Parquet zstd, partition </w:t>
            </w:r>
            <w:r>
              <w:rPr>
                <w:rFonts w:ascii="Consolas" w:hAnsi="Consolas"/>
                <w:color w:val="000000"/>
                <w:sz w:val="20"/>
              </w:rPr>
              <w:t>source/source_version</w:t>
            </w:r>
          </w:p>
        </w:tc>
        <w:tc>
          <w:tcPr>
            <w:tcW w:type="dxa" w:w="3249"/>
          </w:tcPr>
          <w:p>
            <w:r/>
            <w:r>
              <w:rPr>
                <w:sz w:val="20"/>
              </w:rPr>
              <w:t>Xong</w:t>
            </w:r>
          </w:p>
        </w:tc>
      </w:tr>
      <w:tr>
        <w:tc>
          <w:tcPr>
            <w:tcW w:type="dxa" w:w="3249"/>
          </w:tcPr>
          <w:p>
            <w:r/>
            <w:r>
              <w:rPr>
                <w:sz w:val="20"/>
              </w:rPr>
              <w:t>Chuẩn hóa text, LaTeX, Lean, metadata</w:t>
            </w:r>
          </w:p>
        </w:tc>
        <w:tc>
          <w:tcPr>
            <w:tcW w:type="dxa" w:w="3249"/>
          </w:tcPr>
          <w:p>
            <w:r/>
            <w:r>
              <w:rPr>
                <w:sz w:val="20"/>
              </w:rPr>
              <w:t>NFC ở staging; đếm/gắn cờ LaTeX; tách phát biểu Lean theo mức ngoặc; provenance từ manifest</w:t>
            </w:r>
          </w:p>
        </w:tc>
        <w:tc>
          <w:tcPr>
            <w:tcW w:type="dxa" w:w="3249"/>
          </w:tcPr>
          <w:p>
            <w:r/>
            <w:r>
              <w:rPr>
                <w:sz w:val="20"/>
              </w:rPr>
              <w:t>Xong</w:t>
            </w:r>
          </w:p>
        </w:tc>
      </w:tr>
      <w:tr>
        <w:tc>
          <w:tcPr>
            <w:tcW w:type="dxa" w:w="3249"/>
          </w:tcPr>
          <w:p>
            <w:r/>
            <w:r>
              <w:rPr>
                <w:sz w:val="20"/>
              </w:rPr>
              <w:t>Kiểm thử lược đồ</w:t>
            </w:r>
          </w:p>
        </w:tc>
        <w:tc>
          <w:tcPr>
            <w:tcW w:type="dxa" w:w="3249"/>
          </w:tcPr>
          <w:p>
            <w:r/>
            <w:r>
              <w:rPr>
                <w:sz w:val="20"/>
              </w:rPr>
              <w:t>15 test (</w:t>
            </w:r>
            <w:r>
              <w:rPr>
                <w:rFonts w:ascii="Consolas" w:hAnsi="Consolas"/>
                <w:color w:val="000000"/>
                <w:sz w:val="20"/>
              </w:rPr>
              <w:t>tests/</w:t>
            </w:r>
            <w:r>
              <w:rPr>
                <w:sz w:val="20"/>
              </w:rPr>
              <w:t xml:space="preserve">), tất cả đạt — </w:t>
            </w:r>
            <w:r>
              <w:rPr>
                <w:rFonts w:ascii="Consolas" w:hAnsi="Consolas"/>
                <w:color w:val="000000"/>
                <w:sz w:val="20"/>
              </w:rPr>
              <w:t>results/raw/pytest_w4.txt</w:t>
            </w:r>
          </w:p>
        </w:tc>
        <w:tc>
          <w:tcPr>
            <w:tcW w:type="dxa" w:w="3249"/>
          </w:tcPr>
          <w:p>
            <w:r/>
            <w:r>
              <w:rPr>
                <w:sz w:val="20"/>
              </w:rPr>
              <w:t>Xong</w:t>
            </w:r>
          </w:p>
        </w:tc>
      </w:tr>
      <w:tr>
        <w:tc>
          <w:tcPr>
            <w:tcW w:type="dxa" w:w="3249"/>
          </w:tcPr>
          <w:p>
            <w:r/>
            <w:r>
              <w:rPr>
                <w:sz w:val="20"/>
              </w:rPr>
              <w:t>Báo cáo tỷ lệ lỗi</w:t>
            </w:r>
          </w:p>
        </w:tc>
        <w:tc>
          <w:tcPr>
            <w:tcW w:type="dxa" w:w="3249"/>
          </w:tcPr>
          <w:p>
            <w:r/>
            <w:r>
              <w:rPr>
                <w:sz w:val="20"/>
              </w:rPr>
              <w:t>Mục 5</w:t>
            </w:r>
          </w:p>
        </w:tc>
        <w:tc>
          <w:tcPr>
            <w:tcW w:type="dxa" w:w="3249"/>
          </w:tcPr>
          <w:p>
            <w:r/>
            <w:r>
              <w:rPr>
                <w:sz w:val="20"/>
              </w:rPr>
              <w:t>Xong</w:t>
            </w:r>
          </w:p>
        </w:tc>
      </w:tr>
    </w:tbl>
    <w:p/>
    <w:p>
      <w:pPr>
        <w:pStyle w:val="Heading2"/>
      </w:pPr>
      <w:r>
        <w:t>2. Thiết kế Spark ETL</w:t>
      </w:r>
    </w:p>
    <w:p>
      <w:pPr>
        <w:pStyle w:val="ListNumber"/>
      </w:pPr>
      <w:r>
        <w:t xml:space="preserve">Đọc staging JSONL với </w:t>
      </w:r>
      <w:r>
        <w:rPr>
          <w:b/>
        </w:rPr>
        <w:t>lược đồ khai báo trước</w:t>
      </w:r>
      <w:r>
        <w:t xml:space="preserve"> (không suy luận kiểu ⇒ không quét thêm một lần), chế độ </w:t>
      </w:r>
      <w:r>
        <w:rPr>
          <w:rFonts w:ascii="Consolas" w:hAnsi="Consolas"/>
          <w:color w:val="000000"/>
          <w:sz w:val="19"/>
        </w:rPr>
        <w:t>PERMISSIVE</w:t>
      </w:r>
      <w:r>
        <w:t xml:space="preserve"> để dòng hỏng vào cột </w:t>
      </w:r>
      <w:r>
        <w:rPr>
          <w:rFonts w:ascii="Consolas" w:hAnsi="Consolas"/>
          <w:color w:val="000000"/>
          <w:sz w:val="19"/>
        </w:rPr>
        <w:t>_corrupt_record</w:t>
      </w:r>
      <w:r>
        <w:t xml:space="preserve"> thay vì làm dừng job.</w:t>
      </w:r>
    </w:p>
    <w:p>
      <w:pPr>
        <w:pStyle w:val="ListNumber"/>
      </w:pPr>
      <w:r>
        <w:t xml:space="preserve">Ánh xạ từng nguồn sang </w:t>
      </w:r>
      <w:r>
        <w:rPr>
          <w:rFonts w:ascii="Consolas" w:hAnsi="Consolas"/>
          <w:color w:val="000000"/>
          <w:sz w:val="19"/>
        </w:rPr>
        <w:t>math_record</w:t>
      </w:r>
      <w:r>
        <w:t xml:space="preserve"> bằng </w:t>
      </w:r>
      <w:r>
        <w:rPr>
          <w:b/>
        </w:rPr>
        <w:t>biểu thức Spark SQL gốc</w:t>
      </w:r>
      <w:r>
        <w:t xml:space="preserve"> (chạy trong JVM, không dùng UDF Python): </w:t>
      </w:r>
      <w:r>
        <w:rPr>
          <w:rFonts w:ascii="Consolas" w:hAnsi="Consolas"/>
          <w:color w:val="000000"/>
          <w:sz w:val="19"/>
        </w:rPr>
        <w:t>sha1</w:t>
      </w:r>
      <w:r>
        <w:t xml:space="preserve">, </w:t>
      </w:r>
      <w:r>
        <w:rPr>
          <w:rFonts w:ascii="Consolas" w:hAnsi="Consolas"/>
          <w:color w:val="000000"/>
          <w:sz w:val="19"/>
        </w:rPr>
        <w:t>regexp_count</w:t>
      </w:r>
      <w:r>
        <w:t xml:space="preserve">, </w:t>
      </w:r>
      <w:r>
        <w:rPr>
          <w:rFonts w:ascii="Consolas" w:hAnsi="Consolas"/>
          <w:color w:val="000000"/>
          <w:sz w:val="19"/>
        </w:rPr>
        <w:t>regexp_extract</w:t>
      </w:r>
      <w:r>
        <w:t xml:space="preserve">, </w:t>
      </w:r>
      <w:r>
        <w:rPr>
          <w:rFonts w:ascii="Consolas" w:hAnsi="Consolas"/>
          <w:color w:val="000000"/>
          <w:sz w:val="19"/>
        </w:rPr>
        <w:t>transform</w:t>
      </w:r>
      <w:r>
        <w:t xml:space="preserve">, </w:t>
      </w:r>
      <w:r>
        <w:rPr>
          <w:rFonts w:ascii="Consolas" w:hAnsi="Consolas"/>
          <w:color w:val="000000"/>
          <w:sz w:val="19"/>
        </w:rPr>
        <w:t>array_distinct</w:t>
      </w:r>
      <w:r>
        <w:t xml:space="preserve">, </w:t>
      </w:r>
      <w:r>
        <w:rPr>
          <w:rFonts w:ascii="Consolas" w:hAnsi="Consolas"/>
          <w:color w:val="000000"/>
          <w:sz w:val="19"/>
        </w:rPr>
        <w:t>flatten</w:t>
      </w:r>
      <w:r>
        <w:t>…</w:t>
      </w:r>
    </w:p>
    <w:p>
      <w:pPr>
        <w:pStyle w:val="ListNumber"/>
      </w:pPr>
      <w:r>
        <w:t xml:space="preserve">LeanDojo: join với corpus (premise → mã phát biểu, tệp → import); trùng khóa trong corpus được khử bằng </w:t>
      </w:r>
      <w:r>
        <w:rPr>
          <w:rFonts w:ascii="Consolas" w:hAnsi="Consolas"/>
          <w:color w:val="000000"/>
          <w:sz w:val="19"/>
        </w:rPr>
        <w:t>row_number</w:t>
      </w:r>
      <w:r>
        <w:t xml:space="preserve"> (giữ bản đầu, giống baseline).</w:t>
      </w:r>
    </w:p>
    <w:p>
      <w:pPr>
        <w:pStyle w:val="ListNumber"/>
      </w:pPr>
      <w:r>
        <w:t>Gắn provenance bằng broadcast join với manifest (19 dòng).</w:t>
      </w:r>
    </w:p>
    <w:p>
      <w:pPr>
        <w:pStyle w:val="ListNumber"/>
      </w:pPr>
      <w:r>
        <w:t xml:space="preserve">Kiểm tra lỗi cứng E01–E03 bằng biểu thức; </w:t>
      </w:r>
      <w:r>
        <w:rPr>
          <w:b/>
        </w:rPr>
        <w:t>kiểm tra trùng khóa E06</w:t>
      </w:r>
      <w:r>
        <w:t xml:space="preserve"> chỉ xáo trộn 5 cột khóa nhỏ, rồi broadcast danh sách khóa trùng trở lại — tránh shuffle toàn bộ nội dung 3 GB.</w:t>
      </w:r>
    </w:p>
    <w:p>
      <w:pPr>
        <w:pStyle w:val="ListNumber"/>
      </w:pPr>
      <w:r>
        <w:t xml:space="preserve">Ghi Parquet zstd, </w:t>
      </w:r>
      <w:r>
        <w:rPr>
          <w:rFonts w:ascii="Consolas" w:hAnsi="Consolas"/>
          <w:color w:val="000000"/>
          <w:sz w:val="19"/>
        </w:rPr>
        <w:t>partitionBy(source, source_version)</w:t>
      </w:r>
      <w:r>
        <w:t xml:space="preserve">, chế độ ghi đè </w:t>
      </w:r>
      <w:r>
        <w:rPr>
          <w:b/>
        </w:rPr>
        <w:t>động theo partition</w:t>
      </w:r>
      <w:r>
        <w:t xml:space="preserve"> ⇒ chạy lại cùng batch không nhân đôi (đã kiểm bằng test).</w:t>
      </w:r>
    </w:p>
    <w:p>
      <w:pPr>
        <w:pStyle w:val="Heading2"/>
      </w:pPr>
      <w:r>
        <w:t>3. Kiểm thử (15/15 đạt)</w:t>
      </w:r>
    </w:p>
    <w:tbl>
      <w:tblPr>
        <w:tblStyle w:val="TableGrid"/>
        <w:tblW w:type="auto" w:w="0"/>
        <w:tblLook w:firstColumn="1" w:firstRow="1" w:lastColumn="0" w:lastRow="0" w:noHBand="0" w:noVBand="1" w:val="04A0"/>
      </w:tblPr>
      <w:tblGrid>
        <w:gridCol w:w="4873"/>
        <w:gridCol w:w="4873"/>
      </w:tblGrid>
      <w:tr>
        <w:tc>
          <w:tcPr>
            <w:tcW w:type="dxa" w:w="4873"/>
            <w:shd w:val="clear" w:color="auto" w:fill="E7E6E6"/>
          </w:tcPr>
          <w:p>
            <w:r>
              <w:rPr>
                <w:b/>
              </w:rPr>
            </w:r>
            <w:r>
              <w:rPr>
                <w:b/>
                <w:sz w:val="20"/>
              </w:rPr>
              <w:t>Nhóm test</w:t>
            </w:r>
          </w:p>
        </w:tc>
        <w:tc>
          <w:tcPr>
            <w:tcW w:type="dxa" w:w="4873"/>
            <w:shd w:val="clear" w:color="auto" w:fill="E7E6E6"/>
          </w:tcPr>
          <w:p>
            <w:r>
              <w:rPr>
                <w:b/>
              </w:rPr>
            </w:r>
            <w:r>
              <w:rPr>
                <w:b/>
                <w:sz w:val="20"/>
              </w:rPr>
              <w:t>Nội dung</w:t>
            </w:r>
          </w:p>
        </w:tc>
      </w:tr>
      <w:tr>
        <w:tc>
          <w:tcPr>
            <w:tcW w:type="dxa" w:w="4873"/>
          </w:tcPr>
          <w:p>
            <w:r/>
            <w:r>
              <w:rPr>
                <w:sz w:val="20"/>
              </w:rPr>
              <w:t>Lược đồ / contract</w:t>
            </w:r>
          </w:p>
        </w:tc>
        <w:tc>
          <w:tcPr>
            <w:tcW w:type="dxa" w:w="4873"/>
          </w:tcPr>
          <w:p>
            <w:r/>
            <w:r>
              <w:rPr>
                <w:sz w:val="20"/>
              </w:rPr>
              <w:t xml:space="preserve">danh sách cột trong YAML contract = </w:t>
            </w:r>
            <w:r>
              <w:rPr>
                <w:rFonts w:ascii="Consolas" w:hAnsi="Consolas"/>
                <w:color w:val="000000"/>
                <w:sz w:val="20"/>
              </w:rPr>
              <w:t>schema.py</w:t>
            </w:r>
            <w:r>
              <w:rPr>
                <w:sz w:val="20"/>
              </w:rPr>
              <w:t xml:space="preserve">; bản ghi khớp lược đồ Arrow; provenance 100% khác null; </w:t>
            </w:r>
            <w:r>
              <w:rPr>
                <w:rFonts w:ascii="Consolas" w:hAnsi="Consolas"/>
                <w:color w:val="000000"/>
                <w:sz w:val="20"/>
              </w:rPr>
              <w:t>record_id</w:t>
            </w:r>
            <w:r>
              <w:rPr>
                <w:sz w:val="20"/>
              </w:rPr>
              <w:t xml:space="preserve"> duy nhất và ổn định</w:t>
            </w:r>
          </w:p>
        </w:tc>
      </w:tr>
      <w:tr>
        <w:tc>
          <w:tcPr>
            <w:tcW w:type="dxa" w:w="4873"/>
          </w:tcPr>
          <w:p>
            <w:r/>
            <w:r>
              <w:rPr>
                <w:sz w:val="20"/>
              </w:rPr>
              <w:t>Ánh xạ</w:t>
            </w:r>
          </w:p>
        </w:tc>
        <w:tc>
          <w:tcPr>
            <w:tcW w:type="dxa" w:w="4873"/>
          </w:tcPr>
          <w:p>
            <w:r/>
            <w:r>
              <w:rPr>
                <w:rFonts w:ascii="Consolas" w:hAnsi="Consolas"/>
                <w:color w:val="000000"/>
                <w:sz w:val="20"/>
              </w:rPr>
              <w:t>formal_language</w:t>
            </w:r>
            <w:r>
              <w:rPr>
                <w:sz w:val="20"/>
              </w:rPr>
              <w:t xml:space="preserve"> đúng theo nguồn; join LeanDojo đủ; số tactic/premise nhất quán; tách phát biểu Lean (3 test); đếm LaTeX</w:t>
            </w:r>
          </w:p>
        </w:tc>
      </w:tr>
      <w:tr>
        <w:tc>
          <w:tcPr>
            <w:tcW w:type="dxa" w:w="4873"/>
          </w:tcPr>
          <w:p>
            <w:r/>
            <w:r>
              <w:rPr>
                <w:sz w:val="20"/>
              </w:rPr>
              <w:t>Spark</w:t>
            </w:r>
          </w:p>
        </w:tc>
        <w:tc>
          <w:tcPr>
            <w:tcW w:type="dxa" w:w="4873"/>
          </w:tcPr>
          <w:p>
            <w:r/>
            <w:r>
              <w:rPr>
                <w:b/>
                <w:sz w:val="20"/>
              </w:rPr>
              <w:t>parity</w:t>
            </w:r>
            <w:r>
              <w:rPr>
                <w:sz w:val="20"/>
              </w:rPr>
              <w:t xml:space="preserve">: Spark = Python trên mọi cột của 997 bản ghi mẫu; </w:t>
            </w:r>
            <w:r>
              <w:rPr>
                <w:b/>
                <w:sz w:val="20"/>
              </w:rPr>
              <w:t>idempotent</w:t>
            </w:r>
            <w:r>
              <w:rPr>
                <w:sz w:val="20"/>
              </w:rPr>
              <w:t xml:space="preserve">: chạy 2 lần vẫn 997 bản ghi, không trùng; </w:t>
            </w:r>
            <w:r>
              <w:rPr>
                <w:b/>
                <w:sz w:val="20"/>
              </w:rPr>
              <w:t>dòng hỏng</w:t>
            </w:r>
            <w:r>
              <w:rPr>
                <w:sz w:val="20"/>
              </w:rPr>
              <w:t>: 2 dòng E05 + E03 + E06 được tách đúng, bản ghi tốt không bị ảnh hưởng</w:t>
            </w:r>
          </w:p>
        </w:tc>
      </w:tr>
    </w:tbl>
    <w:p/>
    <w:p>
      <w:pPr>
        <w:spacing w:after="80"/>
      </w:pPr>
      <w:r>
        <w:rPr>
          <w:b/>
        </w:rPr>
        <w:t>Parity trên toàn bộ dữ liệu</w:t>
      </w:r>
      <w:r>
        <w:t xml:space="preserve"> (</w:t>
      </w:r>
      <w:r>
        <w:rPr>
          <w:rFonts w:ascii="Consolas" w:hAnsi="Consolas"/>
          <w:color w:val="000000"/>
          <w:sz w:val="19"/>
        </w:rPr>
        <w:t>results/raw/parity_full.json</w:t>
      </w:r>
      <w:r>
        <w:t xml:space="preserve">): so sánh hash từng bản ghi trên 36 cột giữa đầu ra baseline và Spark — 982.477 = 982.477 bản ghi, </w:t>
      </w:r>
      <w:r>
        <w:rPr>
          <w:b/>
        </w:rPr>
        <w:t>0 khác biệt</w:t>
      </w:r>
      <w:r>
        <w:t>, 0 bản ghi chỉ có ở một phía.</w:t>
      </w:r>
    </w:p>
    <w:p>
      <w:pPr>
        <w:pStyle w:val="Heading2"/>
      </w:pPr>
      <w:r>
        <w:t>4. Sửa lỗi phát hiện trong tuần: tách phát biểu Lean</w:t>
      </w:r>
    </w:p>
    <w:p>
      <w:pPr>
        <w:spacing w:after="80"/>
      </w:pPr>
      <w:r>
        <w:t xml:space="preserve">Kiểm tra tự động (ngoặc </w:t>
      </w:r>
      <w:r>
        <w:rPr>
          <w:rFonts w:ascii="Consolas" w:hAnsi="Consolas"/>
          <w:color w:val="000000"/>
          <w:sz w:val="19"/>
        </w:rPr>
        <w:t>()[]{}</w:t>
      </w:r>
      <w:r>
        <w:t xml:space="preserve"> phải cân bằng trong phát biểu) cho thấy heuristic v0.2 "cắt tại </w:t>
      </w:r>
      <w:r>
        <w:rPr>
          <w:rFonts w:ascii="Consolas" w:hAnsi="Consolas"/>
          <w:color w:val="000000"/>
          <w:sz w:val="19"/>
        </w:rPr>
        <w:t>:=</w:t>
      </w:r>
      <w:r>
        <w:t xml:space="preserve"> đầu tiên" sai ở </w:t>
      </w:r>
      <w:r>
        <w:rPr>
          <w:b/>
        </w:rPr>
        <w:t>4.887/122.512 định lý (3,99%)</w:t>
      </w:r>
      <w:r>
        <w:t xml:space="preserve">, do thuộc tính như </w:t>
      </w:r>
      <w:r>
        <w:rPr>
          <w:rFonts w:ascii="Consolas" w:hAnsi="Consolas"/>
          <w:color w:val="000000"/>
          <w:sz w:val="19"/>
        </w:rPr>
        <w:t>@[to_additive (attr := simp)]</w:t>
      </w:r>
      <w:r>
        <w:t xml:space="preserve"> chứa </w:t>
      </w:r>
      <w:r>
        <w:rPr>
          <w:rFonts w:ascii="Consolas" w:hAnsi="Consolas"/>
          <w:color w:val="000000"/>
          <w:sz w:val="19"/>
        </w:rPr>
        <w:t>:=</w:t>
      </w:r>
      <w:r>
        <w:t>. Phiên bản v0.3:</w:t>
      </w:r>
    </w:p>
    <w:p>
      <w:pPr>
        <w:pStyle w:val="ListBullet"/>
      </w:pPr>
      <w:r>
        <w:t xml:space="preserve">chỉ cắt tại </w:t>
      </w:r>
      <w:r>
        <w:rPr>
          <w:rFonts w:ascii="Consolas" w:hAnsi="Consolas"/>
          <w:color w:val="000000"/>
          <w:sz w:val="19"/>
        </w:rPr>
        <w:t>:=</w:t>
      </w:r>
      <w:r>
        <w:t xml:space="preserve"> ở </w:t>
      </w:r>
      <w:r>
        <w:rPr>
          <w:b/>
        </w:rPr>
        <w:t>mức ngoặc 0</w:t>
      </w:r>
      <w:r>
        <w:t xml:space="preserve"> — dùng một regex nhóm nguyên tử (lồng tối đa 4 tầng) </w:t>
      </w:r>
      <w:r>
        <w:rPr>
          <w:b/>
        </w:rPr>
        <w:t>chung cho Python và Java</w:t>
      </w:r>
      <w:r>
        <w:t>, nên parity vẫn giữ nguyên;</w:t>
      </w:r>
    </w:p>
    <w:p>
      <w:pPr>
        <w:pStyle w:val="ListBullet"/>
      </w:pPr>
      <w:r>
        <w:t xml:space="preserve">nếu không có </w:t>
      </w:r>
      <w:r>
        <w:rPr>
          <w:rFonts w:ascii="Consolas" w:hAnsi="Consolas"/>
          <w:color w:val="000000"/>
          <w:sz w:val="19"/>
        </w:rPr>
        <w:t>:=</w:t>
      </w:r>
      <w:r>
        <w:t xml:space="preserve"> ở mức 0 (corpus LeanDojo thường chỉ lưu phát biểu, không có chứng minh) thì giữ nguyên toàn bộ mã.</w:t>
      </w:r>
    </w:p>
    <w:p>
      <w:pPr>
        <w:spacing w:after="80"/>
      </w:pPr>
      <w:r>
        <w:t xml:space="preserve">Kết quả: lệch ngoặc còn </w:t>
      </w:r>
      <w:r>
        <w:rPr>
          <w:b/>
        </w:rPr>
        <w:t>1/122.512 (0,001%)</w:t>
      </w:r>
      <w:r>
        <w:t xml:space="preserve">, trường hợp ngoặc nằm trong chuỗi ký tự. Chi phí: Spark mức toàn bộ chậm thêm 3,3 s (51,2 → 54,5 s; </w:t>
      </w:r>
      <w:r>
        <w:rPr>
          <w:rFonts w:ascii="Consolas" w:hAnsi="Consolas"/>
          <w:color w:val="000000"/>
          <w:sz w:val="19"/>
        </w:rPr>
        <w:t>results/tables/spark_v02_vs_v03.csv</w:t>
      </w:r>
      <w:r>
        <w:t>).</w:t>
      </w:r>
    </w:p>
    <w:p>
      <w:pPr>
        <w:pStyle w:val="Heading2"/>
      </w:pPr>
      <w:r>
        <w:t>5. Tỷ lệ lỗi (toàn bộ, pipeline v0.3, Spark và baseline giống nhau)</w:t>
      </w:r>
    </w:p>
    <w:tbl>
      <w:tblPr>
        <w:tblStyle w:val="TableGrid"/>
        <w:tblW w:type="auto" w:w="0"/>
        <w:tblLook w:firstColumn="1" w:firstRow="1" w:lastColumn="0" w:lastRow="0" w:noHBand="0" w:noVBand="1" w:val="04A0"/>
      </w:tblPr>
      <w:tblGrid>
        <w:gridCol w:w="4873"/>
        <w:gridCol w:w="4873"/>
      </w:tblGrid>
      <w:tr>
        <w:tc>
          <w:tcPr>
            <w:tcW w:type="dxa" w:w="4873"/>
            <w:shd w:val="clear" w:color="auto" w:fill="E7E6E6"/>
          </w:tcPr>
          <w:p>
            <w:r>
              <w:rPr>
                <w:b/>
              </w:rPr>
            </w:r>
            <w:r>
              <w:rPr>
                <w:b/>
                <w:sz w:val="20"/>
              </w:rPr>
              <w:t>Chỉ số</w:t>
            </w:r>
          </w:p>
        </w:tc>
        <w:tc>
          <w:tcPr>
            <w:tcW w:type="dxa" w:w="4873"/>
            <w:shd w:val="clear" w:color="auto" w:fill="E7E6E6"/>
          </w:tcPr>
          <w:p>
            <w:r>
              <w:rPr>
                <w:b/>
              </w:rPr>
            </w:r>
            <w:r>
              <w:rPr>
                <w:b/>
                <w:sz w:val="20"/>
              </w:rPr>
              <w:t>Giá trị</w:t>
            </w:r>
          </w:p>
        </w:tc>
      </w:tr>
      <w:tr>
        <w:tc>
          <w:tcPr>
            <w:tcW w:type="dxa" w:w="4873"/>
          </w:tcPr>
          <w:p>
            <w:r/>
            <w:r>
              <w:rPr>
                <w:sz w:val="20"/>
              </w:rPr>
              <w:t>Bản ghi vào</w:t>
            </w:r>
          </w:p>
        </w:tc>
        <w:tc>
          <w:tcPr>
            <w:tcW w:type="dxa" w:w="4873"/>
          </w:tcPr>
          <w:p>
            <w:r/>
            <w:r>
              <w:rPr>
                <w:sz w:val="20"/>
              </w:rPr>
              <w:t>982.482</w:t>
            </w:r>
          </w:p>
        </w:tc>
      </w:tr>
      <w:tr>
        <w:tc>
          <w:tcPr>
            <w:tcW w:type="dxa" w:w="4873"/>
          </w:tcPr>
          <w:p>
            <w:r/>
            <w:r>
              <w:rPr>
                <w:sz w:val="20"/>
              </w:rPr>
              <w:t>Bản ghi curated</w:t>
            </w:r>
          </w:p>
        </w:tc>
        <w:tc>
          <w:tcPr>
            <w:tcW w:type="dxa" w:w="4873"/>
          </w:tcPr>
          <w:p>
            <w:r/>
            <w:r>
              <w:rPr>
                <w:sz w:val="20"/>
              </w:rPr>
              <w:t>982.477 (NuminaMath 859.594, LeanDojo 122.512, ProofNet 371)</w:t>
            </w:r>
          </w:p>
        </w:tc>
      </w:tr>
      <w:tr>
        <w:tc>
          <w:tcPr>
            <w:tcW w:type="dxa" w:w="4873"/>
          </w:tcPr>
          <w:p>
            <w:r/>
            <w:r>
              <w:rPr>
                <w:sz w:val="20"/>
              </w:rPr>
              <w:t>Dòng không đọc được (E05)</w:t>
            </w:r>
          </w:p>
        </w:tc>
        <w:tc>
          <w:tcPr>
            <w:tcW w:type="dxa" w:w="4873"/>
          </w:tcPr>
          <w:p>
            <w:r/>
            <w:r>
              <w:rPr>
                <w:sz w:val="20"/>
              </w:rPr>
              <w:t>0</w:t>
            </w:r>
          </w:p>
        </w:tc>
      </w:tr>
      <w:tr>
        <w:tc>
          <w:tcPr>
            <w:tcW w:type="dxa" w:w="4873"/>
          </w:tcPr>
          <w:p>
            <w:r/>
            <w:r>
              <w:rPr>
                <w:sz w:val="20"/>
              </w:rPr>
              <w:t>Lỗi cứng</w:t>
            </w:r>
          </w:p>
        </w:tc>
        <w:tc>
          <w:tcPr>
            <w:tcW w:type="dxa" w:w="4873"/>
          </w:tcPr>
          <w:p>
            <w:r/>
            <w:r>
              <w:rPr>
                <w:sz w:val="20"/>
              </w:rPr>
              <w:t xml:space="preserve">5 (E03 — 5 định lý LeanDojo có </w:t>
            </w:r>
            <w:r>
              <w:rPr>
                <w:rFonts w:ascii="Consolas" w:hAnsi="Consolas"/>
                <w:color w:val="000000"/>
                <w:sz w:val="20"/>
              </w:rPr>
              <w:t>full_name = null</w:t>
            </w:r>
            <w:r>
              <w:rPr>
                <w:sz w:val="20"/>
              </w:rPr>
              <w:t>, xem báo cáo tuần 3)</w:t>
            </w:r>
          </w:p>
        </w:tc>
      </w:tr>
      <w:tr>
        <w:tc>
          <w:tcPr>
            <w:tcW w:type="dxa" w:w="4873"/>
          </w:tcPr>
          <w:p>
            <w:r/>
            <w:r>
              <w:rPr>
                <w:b/>
                <w:sz w:val="20"/>
              </w:rPr>
              <w:t>Tỷ lệ lỗi lược đồ</w:t>
            </w:r>
          </w:p>
        </w:tc>
        <w:tc>
          <w:tcPr>
            <w:tcW w:type="dxa" w:w="4873"/>
          </w:tcPr>
          <w:p>
            <w:r/>
            <w:r>
              <w:rPr>
                <w:b/>
                <w:sz w:val="20"/>
              </w:rPr>
              <w:t>0,0005%</w:t>
            </w:r>
          </w:p>
        </w:tc>
      </w:tr>
      <w:tr>
        <w:tc>
          <w:tcPr>
            <w:tcW w:type="dxa" w:w="4873"/>
          </w:tcPr>
          <w:p>
            <w:r/>
            <w:r>
              <w:rPr>
                <w:sz w:val="20"/>
              </w:rPr>
              <w:t>Provenance đầy đủ</w:t>
            </w:r>
          </w:p>
        </w:tc>
        <w:tc>
          <w:tcPr>
            <w:tcW w:type="dxa" w:w="4873"/>
          </w:tcPr>
          <w:p>
            <w:r/>
            <w:r>
              <w:rPr>
                <w:sz w:val="20"/>
              </w:rPr>
              <w:t>100% bản ghi curated</w:t>
            </w:r>
          </w:p>
        </w:tc>
      </w:tr>
      <w:tr>
        <w:tc>
          <w:tcPr>
            <w:tcW w:type="dxa" w:w="4873"/>
          </w:tcPr>
          <w:p>
            <w:r/>
            <w:r>
              <w:rPr>
                <w:sz w:val="20"/>
              </w:rPr>
              <w:t>Join LeanDojo ↔ corpus</w:t>
            </w:r>
          </w:p>
        </w:tc>
        <w:tc>
          <w:tcPr>
            <w:tcW w:type="dxa" w:w="4873"/>
          </w:tcPr>
          <w:p>
            <w:r/>
            <w:r>
              <w:rPr>
                <w:sz w:val="20"/>
              </w:rPr>
              <w:t>122.512/122.512 (W02 = 0)</w:t>
            </w:r>
          </w:p>
        </w:tc>
      </w:tr>
      <w:tr>
        <w:tc>
          <w:tcPr>
            <w:tcW w:type="dxa" w:w="4873"/>
          </w:tcPr>
          <w:p>
            <w:r/>
            <w:r>
              <w:rPr>
                <w:sz w:val="20"/>
              </w:rPr>
              <w:t>Cảnh báo</w:t>
            </w:r>
          </w:p>
        </w:tc>
        <w:tc>
          <w:tcPr>
            <w:tcW w:type="dxa" w:w="4873"/>
          </w:tcPr>
          <w:p>
            <w:r/>
            <w:r>
              <w:rPr>
                <w:sz w:val="20"/>
              </w:rPr>
              <w:t>W05 25.249 · W04 266 · W03 5 · W01 2</w:t>
            </w:r>
          </w:p>
        </w:tc>
      </w:tr>
    </w:tbl>
    <w:p/>
    <w:p>
      <w:pPr>
        <w:pStyle w:val="Heading2"/>
      </w:pPr>
      <w:r>
        <w:t>6. Hiệu năng Spark so với baseline (3 lần/mức, median và min–max)</w:t>
      </w:r>
    </w:p>
    <w:p>
      <w:pPr>
        <w:spacing w:after="80"/>
      </w:pPr>
      <w:r>
        <w:t xml:space="preserve">Cùng máy, cùng staging, cùng mã ánh xạ v0.3. Spark: </w:t>
      </w:r>
      <w:r>
        <w:rPr>
          <w:rFonts w:ascii="Consolas" w:hAnsi="Consolas"/>
          <w:color w:val="000000"/>
          <w:sz w:val="19"/>
        </w:rPr>
        <w:t>local[4]</w:t>
      </w:r>
      <w:r>
        <w:t>, driver 2 GB.</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val="clear" w:color="auto" w:fill="E7E6E6"/>
          </w:tcPr>
          <w:p>
            <w:r>
              <w:rPr>
                <w:b/>
              </w:rPr>
            </w:r>
            <w:r>
              <w:rPr>
                <w:b/>
                <w:sz w:val="18"/>
              </w:rPr>
              <w:t>Mức</w:t>
            </w:r>
          </w:p>
        </w:tc>
        <w:tc>
          <w:tcPr>
            <w:tcW w:type="dxa" w:w="1624"/>
            <w:shd w:val="clear" w:color="auto" w:fill="E7E6E6"/>
          </w:tcPr>
          <w:p>
            <w:r>
              <w:rPr>
                <w:b/>
              </w:rPr>
            </w:r>
            <w:r>
              <w:rPr>
                <w:b/>
                <w:sz w:val="18"/>
              </w:rPr>
              <w:t>Baseline runtime, s</w:t>
            </w:r>
          </w:p>
        </w:tc>
        <w:tc>
          <w:tcPr>
            <w:tcW w:type="dxa" w:w="1624"/>
            <w:shd w:val="clear" w:color="auto" w:fill="E7E6E6"/>
          </w:tcPr>
          <w:p>
            <w:r>
              <w:rPr>
                <w:b/>
              </w:rPr>
            </w:r>
            <w:r>
              <w:rPr>
                <w:b/>
                <w:sz w:val="18"/>
              </w:rPr>
              <w:t>Spark runtime, s</w:t>
            </w:r>
          </w:p>
        </w:tc>
        <w:tc>
          <w:tcPr>
            <w:tcW w:type="dxa" w:w="1624"/>
            <w:shd w:val="clear" w:color="auto" w:fill="E7E6E6"/>
          </w:tcPr>
          <w:p>
            <w:r>
              <w:rPr>
                <w:b/>
              </w:rPr>
            </w:r>
            <w:r>
              <w:rPr>
                <w:b/>
                <w:sz w:val="18"/>
              </w:rPr>
              <w:t>Throughput baseline / Spark (bản ghi/s)</w:t>
            </w:r>
          </w:p>
        </w:tc>
        <w:tc>
          <w:tcPr>
            <w:tcW w:type="dxa" w:w="1624"/>
            <w:shd w:val="clear" w:color="auto" w:fill="E7E6E6"/>
          </w:tcPr>
          <w:p>
            <w:r>
              <w:rPr>
                <w:b/>
              </w:rPr>
            </w:r>
            <w:r>
              <w:rPr>
                <w:b/>
                <w:sz w:val="18"/>
              </w:rPr>
              <w:t>Peak RSS baseline / Spark (MB)</w:t>
            </w:r>
          </w:p>
        </w:tc>
        <w:tc>
          <w:tcPr>
            <w:tcW w:type="dxa" w:w="1624"/>
            <w:shd w:val="clear" w:color="auto" w:fill="E7E6E6"/>
          </w:tcPr>
          <w:p>
            <w:r>
              <w:rPr>
                <w:b/>
              </w:rPr>
            </w:r>
            <w:r>
              <w:rPr>
                <w:b/>
                <w:sz w:val="18"/>
              </w:rPr>
              <w:t>Đầu ra baseline / Spark</w:t>
            </w:r>
          </w:p>
        </w:tc>
      </w:tr>
      <w:tr>
        <w:tc>
          <w:tcPr>
            <w:tcW w:type="dxa" w:w="1624"/>
          </w:tcPr>
          <w:p>
            <w:r/>
            <w:r>
              <w:rPr>
                <w:sz w:val="18"/>
              </w:rPr>
              <w:t>10K</w:t>
            </w:r>
          </w:p>
        </w:tc>
        <w:tc>
          <w:tcPr>
            <w:tcW w:type="dxa" w:w="1624"/>
          </w:tcPr>
          <w:p>
            <w:r/>
            <w:r>
              <w:rPr>
                <w:sz w:val="18"/>
              </w:rPr>
              <w:t>1,46 (1,45–1,46)</w:t>
            </w:r>
          </w:p>
        </w:tc>
        <w:tc>
          <w:tcPr>
            <w:tcW w:type="dxa" w:w="1624"/>
          </w:tcPr>
          <w:p>
            <w:r/>
            <w:r>
              <w:rPr>
                <w:sz w:val="18"/>
              </w:rPr>
              <w:t>16,0 (15,2–27,6)</w:t>
            </w:r>
          </w:p>
        </w:tc>
        <w:tc>
          <w:tcPr>
            <w:tcW w:type="dxa" w:w="1624"/>
          </w:tcPr>
          <w:p>
            <w:r/>
            <w:r>
              <w:rPr>
                <w:sz w:val="18"/>
              </w:rPr>
              <w:t>6.873 / 625</w:t>
            </w:r>
          </w:p>
        </w:tc>
        <w:tc>
          <w:tcPr>
            <w:tcW w:type="dxa" w:w="1624"/>
          </w:tcPr>
          <w:p>
            <w:r/>
            <w:r>
              <w:rPr>
                <w:sz w:val="18"/>
              </w:rPr>
              <w:t>188 / 1.733</w:t>
            </w:r>
          </w:p>
        </w:tc>
        <w:tc>
          <w:tcPr>
            <w:tcW w:type="dxa" w:w="1624"/>
          </w:tcPr>
          <w:p>
            <w:r/>
            <w:r>
              <w:rPr>
                <w:sz w:val="18"/>
              </w:rPr>
              <w:t>24,8 MB, 1 tệp / 5,0 MB, 11 tệp</w:t>
            </w:r>
          </w:p>
        </w:tc>
      </w:tr>
      <w:tr>
        <w:tc>
          <w:tcPr>
            <w:tcW w:type="dxa" w:w="1624"/>
          </w:tcPr>
          <w:p>
            <w:r/>
            <w:r>
              <w:rPr>
                <w:sz w:val="18"/>
              </w:rPr>
              <w:t>100K</w:t>
            </w:r>
          </w:p>
        </w:tc>
        <w:tc>
          <w:tcPr>
            <w:tcW w:type="dxa" w:w="1624"/>
          </w:tcPr>
          <w:p>
            <w:r/>
            <w:r>
              <w:rPr>
                <w:sz w:val="18"/>
              </w:rPr>
              <w:t>7,50 (7,32–7,59)</w:t>
            </w:r>
          </w:p>
        </w:tc>
        <w:tc>
          <w:tcPr>
            <w:tcW w:type="dxa" w:w="1624"/>
          </w:tcPr>
          <w:p>
            <w:r/>
            <w:r>
              <w:rPr>
                <w:sz w:val="18"/>
              </w:rPr>
              <w:t>22,4 (21,2–22,5)</w:t>
            </w:r>
          </w:p>
        </w:tc>
        <w:tc>
          <w:tcPr>
            <w:tcW w:type="dxa" w:w="1624"/>
          </w:tcPr>
          <w:p>
            <w:r/>
            <w:r>
              <w:rPr>
                <w:sz w:val="18"/>
              </w:rPr>
              <w:t>13.335 / 4.468</w:t>
            </w:r>
          </w:p>
        </w:tc>
        <w:tc>
          <w:tcPr>
            <w:tcW w:type="dxa" w:w="1624"/>
          </w:tcPr>
          <w:p>
            <w:r/>
            <w:r>
              <w:rPr>
                <w:sz w:val="18"/>
              </w:rPr>
              <w:t>210 / 1.807</w:t>
            </w:r>
          </w:p>
        </w:tc>
        <w:tc>
          <w:tcPr>
            <w:tcW w:type="dxa" w:w="1624"/>
          </w:tcPr>
          <w:p>
            <w:r/>
            <w:r>
              <w:rPr>
                <w:sz w:val="18"/>
              </w:rPr>
              <w:t>249 MB / 47,9 MB, 11 tệp</w:t>
            </w:r>
          </w:p>
        </w:tc>
      </w:tr>
      <w:tr>
        <w:tc>
          <w:tcPr>
            <w:tcW w:type="dxa" w:w="1624"/>
          </w:tcPr>
          <w:p>
            <w:r/>
            <w:r>
              <w:rPr>
                <w:sz w:val="18"/>
              </w:rPr>
              <w:t>Toàn bộ</w:t>
            </w:r>
          </w:p>
        </w:tc>
        <w:tc>
          <w:tcPr>
            <w:tcW w:type="dxa" w:w="1624"/>
          </w:tcPr>
          <w:p>
            <w:r/>
            <w:r>
              <w:rPr>
                <w:sz w:val="18"/>
              </w:rPr>
              <w:t>72,0 (70,5–84,5)</w:t>
            </w:r>
          </w:p>
        </w:tc>
        <w:tc>
          <w:tcPr>
            <w:tcW w:type="dxa" w:w="1624"/>
          </w:tcPr>
          <w:p>
            <w:r/>
            <w:r>
              <w:rPr>
                <w:b/>
                <w:sz w:val="18"/>
              </w:rPr>
              <w:t>54,5 (54,4–54,8)</w:t>
            </w:r>
          </w:p>
        </w:tc>
        <w:tc>
          <w:tcPr>
            <w:tcW w:type="dxa" w:w="1624"/>
          </w:tcPr>
          <w:p>
            <w:r/>
            <w:r>
              <w:rPr>
                <w:sz w:val="18"/>
              </w:rPr>
              <w:t xml:space="preserve">13.653 / </w:t>
            </w:r>
            <w:r>
              <w:rPr>
                <w:b/>
                <w:sz w:val="18"/>
              </w:rPr>
              <w:t>18.019</w:t>
            </w:r>
          </w:p>
        </w:tc>
        <w:tc>
          <w:tcPr>
            <w:tcW w:type="dxa" w:w="1624"/>
          </w:tcPr>
          <w:p>
            <w:r/>
            <w:r>
              <w:rPr>
                <w:sz w:val="18"/>
              </w:rPr>
              <w:t>416 / 2.702</w:t>
            </w:r>
          </w:p>
        </w:tc>
        <w:tc>
          <w:tcPr>
            <w:tcW w:type="dxa" w:w="1624"/>
          </w:tcPr>
          <w:p>
            <w:r/>
            <w:r>
              <w:rPr>
                <w:sz w:val="18"/>
              </w:rPr>
              <w:t xml:space="preserve">2,45 GB / </w:t>
            </w:r>
            <w:r>
              <w:rPr>
                <w:b/>
                <w:sz w:val="18"/>
              </w:rPr>
              <w:t>462 MB</w:t>
            </w:r>
            <w:r>
              <w:rPr>
                <w:sz w:val="18"/>
              </w:rPr>
              <w:t>, 19 tệp</w:t>
            </w:r>
          </w:p>
        </w:tc>
      </w:tr>
    </w:tbl>
    <w:p/>
    <w:p>
      <w:pPr>
        <w:jc w:val="center"/>
      </w:pPr>
      <w:r>
        <w:drawing>
          <wp:inline xmlns:a="http://schemas.openxmlformats.org/drawingml/2006/main" xmlns:pic="http://schemas.openxmlformats.org/drawingml/2006/picture">
            <wp:extent cx="5760000" cy="3780000"/>
            <wp:docPr id="1" name="Picture 1"/>
            <wp:cNvGraphicFramePr>
              <a:graphicFrameLocks noChangeAspect="1"/>
            </wp:cNvGraphicFramePr>
            <a:graphic>
              <a:graphicData uri="http://schemas.openxmlformats.org/drawingml/2006/picture">
                <pic:pic>
                  <pic:nvPicPr>
                    <pic:cNvPr id="0" name="w4_runtime.png"/>
                    <pic:cNvPicPr/>
                  </pic:nvPicPr>
                  <pic:blipFill>
                    <a:blip r:embed="rId9"/>
                    <a:stretch>
                      <a:fillRect/>
                    </a:stretch>
                  </pic:blipFill>
                  <pic:spPr>
                    <a:xfrm>
                      <a:off x="0" y="0"/>
                      <a:ext cx="5760000" cy="3780000"/>
                    </a:xfrm>
                    <a:prstGeom prst="rect"/>
                  </pic:spPr>
                </pic:pic>
              </a:graphicData>
            </a:graphic>
          </wp:inline>
        </w:drawing>
      </w:r>
    </w:p>
    <w:p>
      <w:pPr>
        <w:jc w:val="center"/>
      </w:pPr>
      <w:r>
        <w:rPr>
          <w:i/>
          <w:sz w:val="20"/>
        </w:rPr>
        <w:t>Hình 1. Runtime end-to-end</w:t>
      </w:r>
    </w:p>
    <w:p>
      <w:pPr>
        <w:jc w:val="center"/>
      </w:pPr>
      <w:r>
        <w:drawing>
          <wp:inline xmlns:a="http://schemas.openxmlformats.org/drawingml/2006/main" xmlns:pic="http://schemas.openxmlformats.org/drawingml/2006/picture">
            <wp:extent cx="5760000" cy="3780000"/>
            <wp:docPr id="2" name="Picture 2"/>
            <wp:cNvGraphicFramePr>
              <a:graphicFrameLocks noChangeAspect="1"/>
            </wp:cNvGraphicFramePr>
            <a:graphic>
              <a:graphicData uri="http://schemas.openxmlformats.org/drawingml/2006/picture">
                <pic:pic>
                  <pic:nvPicPr>
                    <pic:cNvPr id="0" name="w4_throughput.png"/>
                    <pic:cNvPicPr/>
                  </pic:nvPicPr>
                  <pic:blipFill>
                    <a:blip r:embed="rId10"/>
                    <a:stretch>
                      <a:fillRect/>
                    </a:stretch>
                  </pic:blipFill>
                  <pic:spPr>
                    <a:xfrm>
                      <a:off x="0" y="0"/>
                      <a:ext cx="5760000" cy="3780000"/>
                    </a:xfrm>
                    <a:prstGeom prst="rect"/>
                  </pic:spPr>
                </pic:pic>
              </a:graphicData>
            </a:graphic>
          </wp:inline>
        </w:drawing>
      </w:r>
    </w:p>
    <w:p>
      <w:pPr>
        <w:jc w:val="center"/>
      </w:pPr>
      <w:r>
        <w:rPr>
          <w:i/>
          <w:sz w:val="20"/>
        </w:rPr>
        <w:t>Hình 2. Throughput end-to-end</w:t>
      </w:r>
    </w:p>
    <w:p>
      <w:pPr>
        <w:spacing w:after="80"/>
      </w:pPr>
      <w:r>
        <w:rPr>
          <w:b/>
        </w:rPr>
        <w:t>Nhận xét (không tô đẹp kết quả):</w:t>
      </w:r>
    </w:p>
    <w:p>
      <w:pPr>
        <w:pStyle w:val="ListNumber"/>
      </w:pPr>
      <w:r>
        <w:t xml:space="preserve">Ở 10K và 100K, Spark </w:t>
      </w:r>
      <w:r>
        <w:rPr>
          <w:b/>
        </w:rPr>
        <w:t>chậm hơn</w:t>
      </w:r>
      <w:r>
        <w:t xml:space="preserve"> baseline 3–11 lần: chi phí cố định (lập lịch job, đọc lại toàn bộ corpus 180K premise để join, quét hai lần cho kiểm tra trùng khóa, ghi nhiều tệp) lấn át phần xử lý.</w:t>
      </w:r>
    </w:p>
    <w:p>
      <w:pPr>
        <w:pStyle w:val="ListNumber"/>
      </w:pPr>
      <w:r>
        <w:t xml:space="preserve">Chỉ ở mức toàn bộ Spark mới nhanh hơn: </w:t>
      </w:r>
      <w:r>
        <w:rPr>
          <w:b/>
        </w:rPr>
        <w:t>1,32×</w:t>
      </w:r>
      <w:r>
        <w:t xml:space="preserve"> với 4 nhân — xa mức lý tưởng 4×. Giả thuyết: (a) đọc staging hai lần (kiểm tra trùng khóa), (b) parse JSON và regex LaTeX chiếm CPU, (c) chỉ 4 nhân do giới hạn RAM. Tuần 7–8 sẽ kiểm bằng ablation (tắt kiểm tra trùng, 2/4/8 nhân).</w:t>
      </w:r>
    </w:p>
    <w:p>
      <w:pPr>
        <w:pStyle w:val="ListNumber"/>
      </w:pPr>
      <w:r>
        <w:t xml:space="preserve">Lợi ích lớn và chắc chắn là </w:t>
      </w:r>
      <w:r>
        <w:rPr>
          <w:b/>
        </w:rPr>
        <w:t>lưu trữ</w:t>
      </w:r>
      <w:r>
        <w:t xml:space="preserve">: Parquet zstd nhỏ hơn JSONL </w:t>
      </w:r>
      <w:r>
        <w:rPr>
          <w:b/>
        </w:rPr>
        <w:t>5,3 lần</w:t>
      </w:r>
      <w:r>
        <w:t xml:space="preserve"> (462 MB so với 2,45 GB).</w:t>
      </w:r>
    </w:p>
    <w:p>
      <w:pPr>
        <w:pStyle w:val="ListNumber"/>
      </w:pPr>
      <w:r>
        <w:t>Spark tốn RAM hơn (2,7 GB so với 0,4 GB) nhưng vẫn dưới giới hạn 3,5 GB của nhóm.</w:t>
      </w:r>
    </w:p>
    <w:p>
      <w:pPr>
        <w:pStyle w:val="ListNumber"/>
      </w:pPr>
      <w:r>
        <w:rPr>
          <w:b/>
        </w:rPr>
        <w:t>Small-file problem đã xuất hiện</w:t>
      </w:r>
      <w:r>
        <w:t>: ProofNet chỉ 371 bản ghi nhưng bị ghi thành 2 tệp 0,1 MB; LeanDojo có một tệp 0,4 MB; ở mức 10K có 11 tệp cho 5 MB. Đây là đầu vào cho thiết kế kích thước tệp ở tuần 5.</w:t>
      </w:r>
    </w:p>
    <w:p>
      <w:pPr>
        <w:pStyle w:val="Heading2"/>
      </w:pPr>
      <w:r>
        <w:t>7. Checkpoint — tình trạng đường dữ liệu</w:t>
      </w:r>
    </w:p>
    <w:p>
      <w:pPr>
        <w:pStyle w:val="ListBullet"/>
      </w:pPr>
      <w:r>
        <w:t>Baseline ổn định, có số đo sạch và lặp lại (biến thiên &lt; 3% trừ một lần chạy lẻ).</w:t>
      </w:r>
    </w:p>
    <w:p>
      <w:pPr>
        <w:pStyle w:val="ListBullet"/>
      </w:pPr>
      <w:r>
        <w:t xml:space="preserve">Spark ETL đúng (parity 100%) trước khi tối ưu — </w:t>
      </w:r>
      <w:r>
        <w:rPr>
          <w:b/>
        </w:rPr>
        <w:t>không tối ưu khi baseline chưa ổn</w:t>
      </w:r>
      <w:r>
        <w:t>, đúng yêu cầu.</w:t>
      </w:r>
    </w:p>
    <w:p>
      <w:pPr>
        <w:pStyle w:val="ListBullet"/>
      </w:pPr>
      <w:r>
        <w:t>Rủi ro còn lại: tốc độ Spark ở quy mô nhỏ; số tệp nhỏ; cần cơ chế cập nhật gia tăng (tuần 6).</w:t>
      </w:r>
    </w:p>
    <w:p>
      <w:pPr>
        <w:pStyle w:val="Heading2"/>
      </w:pPr>
      <w:r>
        <w:t>8. Kế hoạch tuần 5</w:t>
      </w:r>
    </w:p>
    <w:p>
      <w:pPr>
        <w:spacing w:after="80"/>
      </w:pPr>
      <w:r>
        <w:t xml:space="preserve">So sánh ba (thực tế là năm) cấu hình lưu trữ: JSONL; Parquet không partition; Parquet partition </w:t>
      </w:r>
      <w:r>
        <w:rPr>
          <w:rFonts w:ascii="Consolas" w:hAnsi="Consolas"/>
          <w:color w:val="000000"/>
          <w:sz w:val="19"/>
        </w:rPr>
        <w:t>source/source_version</w:t>
      </w:r>
      <w:r>
        <w:t xml:space="preserve">; partition sâu thêm theo </w:t>
      </w:r>
      <w:r>
        <w:rPr>
          <w:rFonts w:ascii="Consolas" w:hAnsi="Consolas"/>
          <w:color w:val="000000"/>
          <w:sz w:val="19"/>
        </w:rPr>
        <w:t>subset</w:t>
      </w:r>
      <w:r>
        <w:t>; cố ý nhiều tệp nhỏ + compaction. Đo số tệp, dung lượng, thời gian ghi, thời gian đọc và 5 truy vấn kiểm tra bằng DuckDB.</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