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F7A8C"/>
          <w:sz w:val="17"/>
        </w:rPr>
        <w:t>INSTRUMENT 0</w:t>
      </w:r>
    </w:p>
    <w:p>
      <w:pPr>
        <w:spacing w:after="60"/>
      </w:pPr>
      <w:r>
        <w:rPr>
          <w:rFonts w:ascii="Arial" w:hAnsi="Arial"/>
          <w:b/>
          <w:i w:val="0"/>
          <w:color w:val="0B3C5D"/>
          <w:sz w:val="38"/>
        </w:rPr>
        <w:t>How to Use This Pack</w:t>
      </w:r>
    </w:p>
    <w:p>
      <w:pPr>
        <w:spacing w:after="160"/>
      </w:pPr>
      <w:r>
        <w:rPr>
          <w:rFonts w:ascii="Arial" w:hAnsi="Arial"/>
          <w:b w:val="0"/>
          <w:i w:val="0"/>
          <w:color w:val="6B7280"/>
          <w:sz w:val="21"/>
        </w:rPr>
        <w:t>The Board and Committee Instruments Pack, as individual working files</w:t>
      </w:r>
    </w:p>
    <w:p>
      <w:pPr>
        <w:spacing w:after="20"/>
      </w:pPr>
      <w:r>
        <w:rPr>
          <w:rFonts w:ascii="Arial" w:hAnsi="Arial"/>
          <w:b w:val="0"/>
          <w:i w:val="0"/>
          <w:color w:val="6B7280"/>
          <w:sz w:val="17"/>
        </w:rPr>
        <w:t>Prepared for the Board of Havana Specialist Hospital Limited and the Company Secretary.</w:t>
      </w:r>
    </w:p>
    <w:p>
      <w:pPr>
        <w:spacing w:after="20"/>
      </w:pPr>
      <w:r>
        <w:rPr>
          <w:rFonts w:ascii="Arial" w:hAnsi="Arial"/>
          <w:b w:val="0"/>
          <w:i w:val="0"/>
          <w:color w:val="6B7280"/>
          <w:sz w:val="17"/>
        </w:rPr>
        <w:t>Prepared by Dr Debo Odulana, Independent Non-Executive Director; Consult for Africa.</w:t>
      </w:r>
    </w:p>
    <w:p>
      <w:pPr>
        <w:spacing w:after="20"/>
      </w:pPr>
      <w:r>
        <w:rPr>
          <w:rFonts w:ascii="Arial" w:hAnsi="Arial"/>
          <w:b w:val="0"/>
          <w:i w:val="0"/>
          <w:color w:val="6B7280"/>
          <w:sz w:val="17"/>
        </w:rPr>
        <w:t>Date: 16 August 2026.  Classification: Confidential.</w:t>
      </w:r>
    </w:p>
    <w:p/>
    <w:p>
      <w:r>
        <w:rPr>
          <w:rFonts w:ascii="Arial" w:hAnsi="Arial"/>
          <w:b w:val="0"/>
          <w:i w:val="0"/>
          <w:color w:val="1F2937"/>
          <w:sz w:val="20"/>
        </w:rPr>
        <w:t>The master document explains the system and why each instrument is shaped as it is. These are the working files people actually type into. Word for the narrative instruments, Excel for the registers and schedules. Every field to complete appears in [square brackets]; italic guidance is for the author and should be deleted before circulating.</w:t>
      </w:r>
    </w:p>
    <w:p>
      <w:pPr>
        <w:spacing w:before="240" w:after="80"/>
      </w:pPr>
      <w:r>
        <w:rPr>
          <w:rFonts w:ascii="Arial" w:hAnsi="Arial"/>
          <w:b/>
          <w:i w:val="0"/>
          <w:color w:val="0B3C5D"/>
          <w:sz w:val="25"/>
        </w:rPr>
        <w:t>What is in the folder</w:t>
      </w:r>
    </w:p>
    <w:tbl>
      <w:tblPr>
        <w:tblStyle w:val="TableGrid"/>
        <w:tblW w:type="auto" w:w="0"/>
        <w:tblLook w:firstColumn="1" w:firstRow="1" w:lastColumn="0" w:lastRow="0" w:noHBand="0" w:noVBand="1" w:val="04A0"/>
      </w:tblPr>
      <w:tblGrid>
        <w:gridCol w:w="3264"/>
        <w:gridCol w:w="3264"/>
        <w:gridCol w:w="3264"/>
      </w:tblGrid>
      <w:tr>
        <w:tc>
          <w:tcPr>
            <w:tcW w:type="dxa" w:w="3816"/>
            <w:shd w:val="clear" w:color="auto" w:fill="0B3C5D"/>
          </w:tcPr>
          <w:p>
            <w:pPr>
              <w:spacing w:after="20"/>
            </w:pPr>
            <w:r>
              <w:rPr>
                <w:rFonts w:ascii="Arial" w:hAnsi="Arial"/>
                <w:b/>
                <w:i w:val="0"/>
                <w:color w:val="FFFFFF"/>
                <w:sz w:val="17"/>
              </w:rPr>
              <w:t>File</w:t>
            </w:r>
          </w:p>
        </w:tc>
        <w:tc>
          <w:tcPr>
            <w:tcW w:type="dxa" w:w="4104"/>
            <w:shd w:val="clear" w:color="auto" w:fill="0B3C5D"/>
          </w:tcPr>
          <w:p>
            <w:pPr>
              <w:spacing w:after="20"/>
            </w:pPr>
            <w:r>
              <w:rPr>
                <w:rFonts w:ascii="Arial" w:hAnsi="Arial"/>
                <w:b/>
                <w:i w:val="0"/>
                <w:color w:val="FFFFFF"/>
                <w:sz w:val="17"/>
              </w:rPr>
              <w:t>Instrument</w:t>
            </w:r>
          </w:p>
        </w:tc>
        <w:tc>
          <w:tcPr>
            <w:tcW w:type="dxa" w:w="2304"/>
            <w:shd w:val="clear" w:color="auto" w:fill="0B3C5D"/>
          </w:tcPr>
          <w:p>
            <w:pPr>
              <w:spacing w:after="20"/>
            </w:pPr>
            <w:r>
              <w:rPr>
                <w:rFonts w:ascii="Arial" w:hAnsi="Arial"/>
                <w:b/>
                <w:i w:val="0"/>
                <w:color w:val="FFFFFF"/>
                <w:sz w:val="17"/>
              </w:rPr>
              <w:t>Owner</w:t>
            </w:r>
          </w:p>
        </w:tc>
      </w:tr>
      <w:tr>
        <w:tc>
          <w:tcPr>
            <w:tcW w:type="dxa" w:w="3816"/>
          </w:tcPr>
          <w:p>
            <w:pPr>
              <w:spacing w:after="20"/>
            </w:pPr>
            <w:r>
              <w:rPr>
                <w:rFonts w:ascii="Arial" w:hAnsi="Arial"/>
                <w:b w:val="0"/>
                <w:i w:val="0"/>
                <w:color w:val="1F2937"/>
                <w:sz w:val="17"/>
              </w:rPr>
              <w:t>hsh-board-instruments-pack-cfa.pdf</w:t>
            </w:r>
          </w:p>
        </w:tc>
        <w:tc>
          <w:tcPr>
            <w:tcW w:type="dxa" w:w="4104"/>
          </w:tcPr>
          <w:p>
            <w:pPr>
              <w:spacing w:after="20"/>
            </w:pPr>
            <w:r>
              <w:rPr>
                <w:rFonts w:ascii="Arial" w:hAnsi="Arial"/>
                <w:b w:val="0"/>
                <w:i w:val="0"/>
                <w:color w:val="1F2937"/>
                <w:sz w:val="17"/>
              </w:rPr>
              <w:t>The master reference document</w:t>
            </w:r>
          </w:p>
        </w:tc>
        <w:tc>
          <w:tcPr>
            <w:tcW w:type="dxa" w:w="2304"/>
          </w:tcPr>
          <w:p>
            <w:pPr>
              <w:spacing w:after="20"/>
            </w:pPr>
            <w:r>
              <w:rPr>
                <w:rFonts w:ascii="Arial" w:hAnsi="Arial"/>
                <w:b w:val="0"/>
                <w:i w:val="0"/>
                <w:color w:val="1F2937"/>
                <w:sz w:val="17"/>
              </w:rPr>
              <w:t>All</w:t>
            </w:r>
          </w:p>
        </w:tc>
      </w:tr>
      <w:tr>
        <w:tc>
          <w:tcPr>
            <w:tcW w:type="dxa" w:w="3816"/>
            <w:shd w:val="clear" w:color="auto" w:fill="F1F5F9"/>
          </w:tcPr>
          <w:p>
            <w:pPr>
              <w:spacing w:after="20"/>
            </w:pPr>
            <w:r>
              <w:rPr>
                <w:rFonts w:ascii="Arial" w:hAnsi="Arial"/>
                <w:b w:val="0"/>
                <w:i w:val="0"/>
                <w:color w:val="1F2937"/>
                <w:sz w:val="17"/>
              </w:rPr>
              <w:t>01-consolidated-board-pack-cover-and-checklist.docx</w:t>
            </w:r>
          </w:p>
        </w:tc>
        <w:tc>
          <w:tcPr>
            <w:tcW w:type="dxa" w:w="4104"/>
            <w:shd w:val="clear" w:color="auto" w:fill="F1F5F9"/>
          </w:tcPr>
          <w:p>
            <w:pPr>
              <w:spacing w:after="20"/>
            </w:pPr>
            <w:r>
              <w:rPr>
                <w:rFonts w:ascii="Arial" w:hAnsi="Arial"/>
                <w:b w:val="0"/>
                <w:i w:val="0"/>
                <w:color w:val="1F2937"/>
                <w:sz w:val="17"/>
              </w:rPr>
              <w:t>1. Board pack cover and assembly checklist</w:t>
            </w:r>
          </w:p>
        </w:tc>
        <w:tc>
          <w:tcPr>
            <w:tcW w:type="dxa" w:w="2304"/>
            <w:shd w:val="clear" w:color="auto" w:fill="F1F5F9"/>
          </w:tcPr>
          <w:p>
            <w:pPr>
              <w:spacing w:after="20"/>
            </w:pPr>
            <w:r>
              <w:rPr>
                <w:rFonts w:ascii="Arial" w:hAnsi="Arial"/>
                <w:b w:val="0"/>
                <w:i w:val="0"/>
                <w:color w:val="1F2937"/>
                <w:sz w:val="17"/>
              </w:rPr>
              <w:t>Company Secretary</w:t>
            </w:r>
          </w:p>
        </w:tc>
      </w:tr>
      <w:tr>
        <w:tc>
          <w:tcPr>
            <w:tcW w:type="dxa" w:w="3816"/>
          </w:tcPr>
          <w:p>
            <w:pPr>
              <w:spacing w:after="20"/>
            </w:pPr>
            <w:r>
              <w:rPr>
                <w:rFonts w:ascii="Arial" w:hAnsi="Arial"/>
                <w:b w:val="0"/>
                <w:i w:val="0"/>
                <w:color w:val="1F2937"/>
                <w:sz w:val="17"/>
              </w:rPr>
              <w:t>02-agenda-template.docx</w:t>
            </w:r>
          </w:p>
        </w:tc>
        <w:tc>
          <w:tcPr>
            <w:tcW w:type="dxa" w:w="4104"/>
          </w:tcPr>
          <w:p>
            <w:pPr>
              <w:spacing w:after="20"/>
            </w:pPr>
            <w:r>
              <w:rPr>
                <w:rFonts w:ascii="Arial" w:hAnsi="Arial"/>
                <w:b w:val="0"/>
                <w:i w:val="0"/>
                <w:color w:val="1F2937"/>
                <w:sz w:val="17"/>
              </w:rPr>
              <w:t>2. Agenda, board and committee</w:t>
            </w:r>
          </w:p>
        </w:tc>
        <w:tc>
          <w:tcPr>
            <w:tcW w:type="dxa" w:w="2304"/>
          </w:tcPr>
          <w:p>
            <w:pPr>
              <w:spacing w:after="20"/>
            </w:pPr>
            <w:r>
              <w:rPr>
                <w:rFonts w:ascii="Arial" w:hAnsi="Arial"/>
                <w:b w:val="0"/>
                <w:i w:val="0"/>
                <w:color w:val="1F2937"/>
                <w:sz w:val="17"/>
              </w:rPr>
              <w:t>Company Secretary with the Chair</w:t>
            </w:r>
          </w:p>
        </w:tc>
      </w:tr>
      <w:tr>
        <w:tc>
          <w:tcPr>
            <w:tcW w:type="dxa" w:w="3816"/>
            <w:shd w:val="clear" w:color="auto" w:fill="F1F5F9"/>
          </w:tcPr>
          <w:p>
            <w:pPr>
              <w:spacing w:after="20"/>
            </w:pPr>
            <w:r>
              <w:rPr>
                <w:rFonts w:ascii="Arial" w:hAnsi="Arial"/>
                <w:b w:val="0"/>
                <w:i w:val="0"/>
                <w:color w:val="1F2937"/>
                <w:sz w:val="17"/>
              </w:rPr>
              <w:t>03-board-paper-template.docx</w:t>
            </w:r>
          </w:p>
        </w:tc>
        <w:tc>
          <w:tcPr>
            <w:tcW w:type="dxa" w:w="4104"/>
            <w:shd w:val="clear" w:color="auto" w:fill="F1F5F9"/>
          </w:tcPr>
          <w:p>
            <w:pPr>
              <w:spacing w:after="20"/>
            </w:pPr>
            <w:r>
              <w:rPr>
                <w:rFonts w:ascii="Arial" w:hAnsi="Arial"/>
                <w:b w:val="0"/>
                <w:i w:val="0"/>
                <w:color w:val="1F2937"/>
                <w:sz w:val="17"/>
              </w:rPr>
              <w:t>3. Board paper, the decision paper</w:t>
            </w:r>
          </w:p>
        </w:tc>
        <w:tc>
          <w:tcPr>
            <w:tcW w:type="dxa" w:w="2304"/>
            <w:shd w:val="clear" w:color="auto" w:fill="F1F5F9"/>
          </w:tcPr>
          <w:p>
            <w:pPr>
              <w:spacing w:after="20"/>
            </w:pPr>
            <w:r>
              <w:rPr>
                <w:rFonts w:ascii="Arial" w:hAnsi="Arial"/>
                <w:b w:val="0"/>
                <w:i w:val="0"/>
                <w:color w:val="1F2937"/>
                <w:sz w:val="17"/>
              </w:rPr>
              <w:t>Sponsoring executive</w:t>
            </w:r>
          </w:p>
        </w:tc>
      </w:tr>
      <w:tr>
        <w:tc>
          <w:tcPr>
            <w:tcW w:type="dxa" w:w="3816"/>
          </w:tcPr>
          <w:p>
            <w:pPr>
              <w:spacing w:after="20"/>
            </w:pPr>
            <w:r>
              <w:rPr>
                <w:rFonts w:ascii="Arial" w:hAnsi="Arial"/>
                <w:b w:val="0"/>
                <w:i w:val="0"/>
                <w:color w:val="1F2937"/>
                <w:sz w:val="17"/>
              </w:rPr>
              <w:t>04-committee-report-template-GENERIC.docx</w:t>
            </w:r>
          </w:p>
        </w:tc>
        <w:tc>
          <w:tcPr>
            <w:tcW w:type="dxa" w:w="4104"/>
          </w:tcPr>
          <w:p>
            <w:pPr>
              <w:spacing w:after="20"/>
            </w:pPr>
            <w:r>
              <w:rPr>
                <w:rFonts w:ascii="Arial" w:hAnsi="Arial"/>
                <w:b w:val="0"/>
                <w:i w:val="0"/>
                <w:color w:val="1F2937"/>
                <w:sz w:val="17"/>
              </w:rPr>
              <w:t>4. Committee report, blank plus all standing content</w:t>
            </w:r>
          </w:p>
        </w:tc>
        <w:tc>
          <w:tcPr>
            <w:tcW w:type="dxa" w:w="2304"/>
          </w:tcPr>
          <w:p>
            <w:pPr>
              <w:spacing w:after="20"/>
            </w:pPr>
            <w:r>
              <w:rPr>
                <w:rFonts w:ascii="Arial" w:hAnsi="Arial"/>
                <w:b w:val="0"/>
                <w:i w:val="0"/>
                <w:color w:val="1F2937"/>
                <w:sz w:val="17"/>
              </w:rPr>
              <w:t>Committee chairs</w:t>
            </w:r>
          </w:p>
        </w:tc>
      </w:tr>
      <w:tr>
        <w:tc>
          <w:tcPr>
            <w:tcW w:type="dxa" w:w="3816"/>
            <w:shd w:val="clear" w:color="auto" w:fill="F1F5F9"/>
          </w:tcPr>
          <w:p>
            <w:pPr>
              <w:spacing w:after="20"/>
            </w:pPr>
            <w:r>
              <w:rPr>
                <w:rFonts w:ascii="Arial" w:hAnsi="Arial"/>
                <w:b w:val="0"/>
                <w:i w:val="0"/>
                <w:color w:val="1F2937"/>
                <w:sz w:val="17"/>
              </w:rPr>
              <w:t>04-committee-reports-prefilled/</w:t>
            </w:r>
          </w:p>
        </w:tc>
        <w:tc>
          <w:tcPr>
            <w:tcW w:type="dxa" w:w="4104"/>
            <w:shd w:val="clear" w:color="auto" w:fill="F1F5F9"/>
          </w:tcPr>
          <w:p>
            <w:pPr>
              <w:spacing w:after="20"/>
            </w:pPr>
            <w:r>
              <w:rPr>
                <w:rFonts w:ascii="Arial" w:hAnsi="Arial"/>
                <w:b w:val="0"/>
                <w:i w:val="0"/>
                <w:color w:val="1F2937"/>
                <w:sz w:val="17"/>
              </w:rPr>
              <w:t>4. One pre-titled report per committee</w:t>
            </w:r>
          </w:p>
        </w:tc>
        <w:tc>
          <w:tcPr>
            <w:tcW w:type="dxa" w:w="2304"/>
            <w:shd w:val="clear" w:color="auto" w:fill="F1F5F9"/>
          </w:tcPr>
          <w:p>
            <w:pPr>
              <w:spacing w:after="20"/>
            </w:pPr>
            <w:r>
              <w:rPr>
                <w:rFonts w:ascii="Arial" w:hAnsi="Arial"/>
                <w:b w:val="0"/>
                <w:i w:val="0"/>
                <w:color w:val="1F2937"/>
                <w:sz w:val="17"/>
              </w:rPr>
              <w:t>Each committee chair</w:t>
            </w:r>
          </w:p>
        </w:tc>
      </w:tr>
      <w:tr>
        <w:tc>
          <w:tcPr>
            <w:tcW w:type="dxa" w:w="3816"/>
          </w:tcPr>
          <w:p>
            <w:pPr>
              <w:spacing w:after="20"/>
            </w:pPr>
            <w:r>
              <w:rPr>
                <w:rFonts w:ascii="Arial" w:hAnsi="Arial"/>
                <w:b w:val="0"/>
                <w:i w:val="0"/>
                <w:color w:val="1F2937"/>
                <w:sz w:val="17"/>
              </w:rPr>
              <w:t>05-management-report-by-exception.docx</w:t>
            </w:r>
          </w:p>
        </w:tc>
        <w:tc>
          <w:tcPr>
            <w:tcW w:type="dxa" w:w="4104"/>
          </w:tcPr>
          <w:p>
            <w:pPr>
              <w:spacing w:after="20"/>
            </w:pPr>
            <w:r>
              <w:rPr>
                <w:rFonts w:ascii="Arial" w:hAnsi="Arial"/>
                <w:b w:val="0"/>
                <w:i w:val="0"/>
                <w:color w:val="1F2937"/>
                <w:sz w:val="17"/>
              </w:rPr>
              <w:t>5. Management report</w:t>
            </w:r>
          </w:p>
        </w:tc>
        <w:tc>
          <w:tcPr>
            <w:tcW w:type="dxa" w:w="2304"/>
          </w:tcPr>
          <w:p>
            <w:pPr>
              <w:spacing w:after="20"/>
            </w:pPr>
            <w:r>
              <w:rPr>
                <w:rFonts w:ascii="Arial" w:hAnsi="Arial"/>
                <w:b w:val="0"/>
                <w:i w:val="0"/>
                <w:color w:val="1F2937"/>
                <w:sz w:val="17"/>
              </w:rPr>
              <w:t>Medical Director with Afya leads</w:t>
            </w:r>
          </w:p>
        </w:tc>
      </w:tr>
      <w:tr>
        <w:tc>
          <w:tcPr>
            <w:tcW w:type="dxa" w:w="3816"/>
            <w:shd w:val="clear" w:color="auto" w:fill="F1F5F9"/>
          </w:tcPr>
          <w:p>
            <w:pPr>
              <w:spacing w:after="20"/>
            </w:pPr>
            <w:r>
              <w:rPr>
                <w:rFonts w:ascii="Arial" w:hAnsi="Arial"/>
                <w:b w:val="0"/>
                <w:i w:val="0"/>
                <w:color w:val="1F2937"/>
                <w:sz w:val="17"/>
              </w:rPr>
              <w:t>06-performance-dashboard-and-kpi-pack.xlsx</w:t>
            </w:r>
          </w:p>
        </w:tc>
        <w:tc>
          <w:tcPr>
            <w:tcW w:type="dxa" w:w="4104"/>
            <w:shd w:val="clear" w:color="auto" w:fill="F1F5F9"/>
          </w:tcPr>
          <w:p>
            <w:pPr>
              <w:spacing w:after="20"/>
            </w:pPr>
            <w:r>
              <w:rPr>
                <w:rFonts w:ascii="Arial" w:hAnsi="Arial"/>
                <w:b w:val="0"/>
                <w:i w:val="0"/>
                <w:color w:val="1F2937"/>
                <w:sz w:val="17"/>
              </w:rPr>
              <w:t>6. Dashboard and KPIs, seven metric families</w:t>
            </w:r>
          </w:p>
        </w:tc>
        <w:tc>
          <w:tcPr>
            <w:tcW w:type="dxa" w:w="2304"/>
            <w:shd w:val="clear" w:color="auto" w:fill="F1F5F9"/>
          </w:tcPr>
          <w:p>
            <w:pPr>
              <w:spacing w:after="20"/>
            </w:pPr>
            <w:r>
              <w:rPr>
                <w:rFonts w:ascii="Arial" w:hAnsi="Arial"/>
                <w:b w:val="0"/>
                <w:i w:val="0"/>
                <w:color w:val="1F2937"/>
                <w:sz w:val="17"/>
              </w:rPr>
              <w:t>Head of Finance, Hospital Manager</w:t>
            </w:r>
          </w:p>
        </w:tc>
      </w:tr>
      <w:tr>
        <w:tc>
          <w:tcPr>
            <w:tcW w:type="dxa" w:w="3816"/>
          </w:tcPr>
          <w:p>
            <w:pPr>
              <w:spacing w:after="20"/>
            </w:pPr>
            <w:r>
              <w:rPr>
                <w:rFonts w:ascii="Arial" w:hAnsi="Arial"/>
                <w:b w:val="0"/>
                <w:i w:val="0"/>
                <w:color w:val="1F2937"/>
                <w:sz w:val="17"/>
              </w:rPr>
              <w:t>07-risk-register.xlsx</w:t>
            </w:r>
          </w:p>
        </w:tc>
        <w:tc>
          <w:tcPr>
            <w:tcW w:type="dxa" w:w="4104"/>
          </w:tcPr>
          <w:p>
            <w:pPr>
              <w:spacing w:after="20"/>
            </w:pPr>
            <w:r>
              <w:rPr>
                <w:rFonts w:ascii="Arial" w:hAnsi="Arial"/>
                <w:b w:val="0"/>
                <w:i w:val="0"/>
                <w:color w:val="1F2937"/>
                <w:sz w:val="17"/>
              </w:rPr>
              <w:t>7. Enterprise register, board summary, scoring key</w:t>
            </w:r>
          </w:p>
        </w:tc>
        <w:tc>
          <w:tcPr>
            <w:tcW w:type="dxa" w:w="2304"/>
          </w:tcPr>
          <w:p>
            <w:pPr>
              <w:spacing w:after="20"/>
            </w:pPr>
            <w:r>
              <w:rPr>
                <w:rFonts w:ascii="Arial" w:hAnsi="Arial"/>
                <w:b w:val="0"/>
                <w:i w:val="0"/>
                <w:color w:val="1F2937"/>
                <w:sz w:val="17"/>
              </w:rPr>
              <w:t>Audit and Risk chair</w:t>
            </w:r>
          </w:p>
        </w:tc>
      </w:tr>
      <w:tr>
        <w:tc>
          <w:tcPr>
            <w:tcW w:type="dxa" w:w="3816"/>
            <w:shd w:val="clear" w:color="auto" w:fill="F1F5F9"/>
          </w:tcPr>
          <w:p>
            <w:pPr>
              <w:spacing w:after="20"/>
            </w:pPr>
            <w:r>
              <w:rPr>
                <w:rFonts w:ascii="Arial" w:hAnsi="Arial"/>
                <w:b w:val="0"/>
                <w:i w:val="0"/>
                <w:color w:val="1F2937"/>
                <w:sz w:val="17"/>
              </w:rPr>
              <w:t>08-minutes-template.docx</w:t>
            </w:r>
          </w:p>
        </w:tc>
        <w:tc>
          <w:tcPr>
            <w:tcW w:type="dxa" w:w="4104"/>
            <w:shd w:val="clear" w:color="auto" w:fill="F1F5F9"/>
          </w:tcPr>
          <w:p>
            <w:pPr>
              <w:spacing w:after="20"/>
            </w:pPr>
            <w:r>
              <w:rPr>
                <w:rFonts w:ascii="Arial" w:hAnsi="Arial"/>
                <w:b w:val="0"/>
                <w:i w:val="0"/>
                <w:color w:val="1F2937"/>
                <w:sz w:val="17"/>
              </w:rPr>
              <w:t>8. Minutes</w:t>
            </w:r>
          </w:p>
        </w:tc>
        <w:tc>
          <w:tcPr>
            <w:tcW w:type="dxa" w:w="2304"/>
            <w:shd w:val="clear" w:color="auto" w:fill="F1F5F9"/>
          </w:tcPr>
          <w:p>
            <w:pPr>
              <w:spacing w:after="20"/>
            </w:pPr>
            <w:r>
              <w:rPr>
                <w:rFonts w:ascii="Arial" w:hAnsi="Arial"/>
                <w:b w:val="0"/>
                <w:i w:val="0"/>
                <w:color w:val="1F2937"/>
                <w:sz w:val="17"/>
              </w:rPr>
              <w:t>Company Secretary</w:t>
            </w:r>
          </w:p>
        </w:tc>
      </w:tr>
      <w:tr>
        <w:tc>
          <w:tcPr>
            <w:tcW w:type="dxa" w:w="3816"/>
          </w:tcPr>
          <w:p>
            <w:pPr>
              <w:spacing w:after="20"/>
            </w:pPr>
            <w:r>
              <w:rPr>
                <w:rFonts w:ascii="Arial" w:hAnsi="Arial"/>
                <w:b w:val="0"/>
                <w:i w:val="0"/>
                <w:color w:val="1F2937"/>
                <w:sz w:val="17"/>
              </w:rPr>
              <w:t>09-action-and-decision-log.xlsx</w:t>
            </w:r>
          </w:p>
        </w:tc>
        <w:tc>
          <w:tcPr>
            <w:tcW w:type="dxa" w:w="4104"/>
          </w:tcPr>
          <w:p>
            <w:pPr>
              <w:spacing w:after="20"/>
            </w:pPr>
            <w:r>
              <w:rPr>
                <w:rFonts w:ascii="Arial" w:hAnsi="Arial"/>
                <w:b w:val="0"/>
                <w:i w:val="0"/>
                <w:color w:val="1F2937"/>
                <w:sz w:val="17"/>
              </w:rPr>
              <w:t>9. Action log, one tab per meeting body</w:t>
            </w:r>
          </w:p>
        </w:tc>
        <w:tc>
          <w:tcPr>
            <w:tcW w:type="dxa" w:w="2304"/>
          </w:tcPr>
          <w:p>
            <w:pPr>
              <w:spacing w:after="20"/>
            </w:pPr>
            <w:r>
              <w:rPr>
                <w:rFonts w:ascii="Arial" w:hAnsi="Arial"/>
                <w:b w:val="0"/>
                <w:i w:val="0"/>
                <w:color w:val="1F2937"/>
                <w:sz w:val="17"/>
              </w:rPr>
              <w:t>Company Secretary</w:t>
            </w:r>
          </w:p>
        </w:tc>
      </w:tr>
      <w:tr>
        <w:tc>
          <w:tcPr>
            <w:tcW w:type="dxa" w:w="3816"/>
            <w:shd w:val="clear" w:color="auto" w:fill="F1F5F9"/>
          </w:tcPr>
          <w:p>
            <w:pPr>
              <w:spacing w:after="20"/>
            </w:pPr>
            <w:r>
              <w:rPr>
                <w:rFonts w:ascii="Arial" w:hAnsi="Arial"/>
                <w:b w:val="0"/>
                <w:i w:val="0"/>
                <w:color w:val="1F2937"/>
                <w:sz w:val="17"/>
              </w:rPr>
              <w:t>10-escalation-thresholds-schedule.xlsx</w:t>
            </w:r>
          </w:p>
        </w:tc>
        <w:tc>
          <w:tcPr>
            <w:tcW w:type="dxa" w:w="4104"/>
            <w:shd w:val="clear" w:color="auto" w:fill="F1F5F9"/>
          </w:tcPr>
          <w:p>
            <w:pPr>
              <w:spacing w:after="20"/>
            </w:pPr>
            <w:r>
              <w:rPr>
                <w:rFonts w:ascii="Arial" w:hAnsi="Arial"/>
                <w:b w:val="0"/>
                <w:i w:val="0"/>
                <w:color w:val="1F2937"/>
                <w:sz w:val="17"/>
              </w:rPr>
              <w:t>10. Thresholds, escalation log, the rule</w:t>
            </w:r>
          </w:p>
        </w:tc>
        <w:tc>
          <w:tcPr>
            <w:tcW w:type="dxa" w:w="2304"/>
            <w:shd w:val="clear" w:color="auto" w:fill="F1F5F9"/>
          </w:tcPr>
          <w:p>
            <w:pPr>
              <w:spacing w:after="20"/>
            </w:pPr>
            <w:r>
              <w:rPr>
                <w:rFonts w:ascii="Arial" w:hAnsi="Arial"/>
                <w:b w:val="0"/>
                <w:i w:val="0"/>
                <w:color w:val="1F2937"/>
                <w:sz w:val="17"/>
              </w:rPr>
              <w:t>Board, administered by the Secretary</w:t>
            </w:r>
          </w:p>
        </w:tc>
      </w:tr>
      <w:tr>
        <w:tc>
          <w:tcPr>
            <w:tcW w:type="dxa" w:w="3816"/>
          </w:tcPr>
          <w:p>
            <w:pPr>
              <w:spacing w:after="20"/>
            </w:pPr>
            <w:r>
              <w:rPr>
                <w:rFonts w:ascii="Arial" w:hAnsi="Arial"/>
                <w:b w:val="0"/>
                <w:i w:val="0"/>
                <w:color w:val="1F2937"/>
                <w:sz w:val="17"/>
              </w:rPr>
              <w:t>11-register-of-interests-and-attendance.xlsx</w:t>
            </w:r>
          </w:p>
        </w:tc>
        <w:tc>
          <w:tcPr>
            <w:tcW w:type="dxa" w:w="4104"/>
          </w:tcPr>
          <w:p>
            <w:pPr>
              <w:spacing w:after="20"/>
            </w:pPr>
            <w:r>
              <w:rPr>
                <w:rFonts w:ascii="Arial" w:hAnsi="Arial"/>
                <w:b w:val="0"/>
                <w:i w:val="0"/>
                <w:color w:val="1F2937"/>
                <w:sz w:val="17"/>
              </w:rPr>
              <w:t>11. Interests, attendance, related-party log</w:t>
            </w:r>
          </w:p>
        </w:tc>
        <w:tc>
          <w:tcPr>
            <w:tcW w:type="dxa" w:w="2304"/>
          </w:tcPr>
          <w:p>
            <w:pPr>
              <w:spacing w:after="20"/>
            </w:pPr>
            <w:r>
              <w:rPr>
                <w:rFonts w:ascii="Arial" w:hAnsi="Arial"/>
                <w:b w:val="0"/>
                <w:i w:val="0"/>
                <w:color w:val="1F2937"/>
                <w:sz w:val="17"/>
              </w:rPr>
              <w:t>Company Secretary</w:t>
            </w:r>
          </w:p>
        </w:tc>
      </w:tr>
      <w:tr>
        <w:tc>
          <w:tcPr>
            <w:tcW w:type="dxa" w:w="3816"/>
            <w:shd w:val="clear" w:color="auto" w:fill="F1F5F9"/>
          </w:tcPr>
          <w:p>
            <w:pPr>
              <w:spacing w:after="20"/>
            </w:pPr>
            <w:r>
              <w:rPr>
                <w:rFonts w:ascii="Arial" w:hAnsi="Arial"/>
                <w:b w:val="0"/>
                <w:i w:val="0"/>
                <w:color w:val="1F2937"/>
                <w:sz w:val="17"/>
              </w:rPr>
              <w:t>12-annual-board-and-committee-calendar.xlsx</w:t>
            </w:r>
          </w:p>
        </w:tc>
        <w:tc>
          <w:tcPr>
            <w:tcW w:type="dxa" w:w="4104"/>
            <w:shd w:val="clear" w:color="auto" w:fill="F1F5F9"/>
          </w:tcPr>
          <w:p>
            <w:pPr>
              <w:spacing w:after="20"/>
            </w:pPr>
            <w:r>
              <w:rPr>
                <w:rFonts w:ascii="Arial" w:hAnsi="Arial"/>
                <w:b w:val="0"/>
                <w:i w:val="0"/>
                <w:color w:val="1F2937"/>
                <w:sz w:val="17"/>
              </w:rPr>
              <w:t>Calendar, both phases plus fixed points</w:t>
            </w:r>
          </w:p>
        </w:tc>
        <w:tc>
          <w:tcPr>
            <w:tcW w:type="dxa" w:w="2304"/>
            <w:shd w:val="clear" w:color="auto" w:fill="F1F5F9"/>
          </w:tcPr>
          <w:p>
            <w:pPr>
              <w:spacing w:after="20"/>
            </w:pPr>
            <w:r>
              <w:rPr>
                <w:rFonts w:ascii="Arial" w:hAnsi="Arial"/>
                <w:b w:val="0"/>
                <w:i w:val="0"/>
                <w:color w:val="1F2937"/>
                <w:sz w:val="17"/>
              </w:rPr>
              <w:t>Company Secretary</w:t>
            </w:r>
          </w:p>
        </w:tc>
      </w:tr>
    </w:tbl>
    <w:p>
      <w:pPr>
        <w:spacing w:after="40"/>
      </w:pPr>
    </w:p>
    <w:p>
      <w:pPr>
        <w:spacing w:before="240" w:after="80"/>
      </w:pPr>
      <w:r>
        <w:rPr>
          <w:rFonts w:ascii="Arial" w:hAnsi="Arial"/>
          <w:b/>
          <w:i w:val="0"/>
          <w:color w:val="0B3C5D"/>
          <w:sz w:val="25"/>
        </w:rPr>
        <w:t>The two rules that make the suite work</w:t>
      </w:r>
    </w:p>
    <w:p>
      <w:pPr>
        <w:pStyle w:val="ListBullet"/>
        <w:spacing w:after="60"/>
      </w:pPr>
      <w:r>
        <w:rPr>
          <w:rFonts w:ascii="Arial" w:hAnsi="Arial"/>
          <w:b w:val="0"/>
          <w:i w:val="0"/>
          <w:color w:val="1F2937"/>
          <w:sz w:val="20"/>
        </w:rPr>
        <w:t>Nothing reaches the board except through one of these instruments. A verbal update with no paper is not a board item.</w:t>
      </w:r>
    </w:p>
    <w:p>
      <w:pPr>
        <w:pStyle w:val="ListBullet"/>
        <w:spacing w:after="60"/>
      </w:pPr>
      <w:r>
        <w:rPr>
          <w:rFonts w:ascii="Arial" w:hAnsi="Arial"/>
          <w:b w:val="0"/>
          <w:i w:val="0"/>
          <w:color w:val="1F2937"/>
          <w:sz w:val="20"/>
        </w:rPr>
        <w:t>Every template asks the same four things at the end: what is the position against target, what is the exception, what is the risk, and what decision is requested. Once people learn that shape, they can fill in any instrument in the pack.</w:t>
      </w:r>
    </w:p>
    <w:p>
      <w:pPr>
        <w:spacing w:before="240" w:after="80"/>
      </w:pPr>
      <w:r>
        <w:rPr>
          <w:rFonts w:ascii="Arial" w:hAnsi="Arial"/>
          <w:b/>
          <w:i w:val="0"/>
          <w:color w:val="0B3C5D"/>
          <w:sz w:val="25"/>
        </w:rPr>
        <w:t>Before the September board meeting</w:t>
      </w:r>
    </w:p>
    <w:p>
      <w:r>
        <w:rPr>
          <w:rFonts w:ascii="Arial" w:hAnsi="Arial"/>
          <w:b w:val="0"/>
          <w:i w:val="0"/>
          <w:color w:val="1F2937"/>
          <w:sz w:val="20"/>
        </w:rPr>
        <w:t>Three things need a decision that the templates deliberately leave open, because they are the board's to make and not the adviser's:</w:t>
      </w:r>
    </w:p>
    <w:p>
      <w:pPr>
        <w:pStyle w:val="ListBullet"/>
        <w:spacing w:after="60"/>
      </w:pPr>
      <w:r>
        <w:rPr>
          <w:rFonts w:ascii="Arial" w:hAnsi="Arial"/>
          <w:b w:val="0"/>
          <w:i w:val="0"/>
          <w:color w:val="1F2937"/>
          <w:sz w:val="20"/>
        </w:rPr>
        <w:t>The escalation threshold values, bracketed in file 10.</w:t>
      </w:r>
    </w:p>
    <w:p>
      <w:pPr>
        <w:pStyle w:val="ListBullet"/>
        <w:spacing w:after="60"/>
      </w:pPr>
      <w:r>
        <w:rPr>
          <w:rFonts w:ascii="Arial" w:hAnsi="Arial"/>
          <w:b w:val="0"/>
          <w:i w:val="0"/>
          <w:color w:val="1F2937"/>
          <w:sz w:val="20"/>
        </w:rPr>
        <w:t>The RAG thresholds for each dashboard metric, the blank column in file 06.</w:t>
      </w:r>
    </w:p>
    <w:p>
      <w:pPr>
        <w:pStyle w:val="ListBullet"/>
        <w:spacing w:after="60"/>
      </w:pPr>
      <w:r>
        <w:rPr>
          <w:rFonts w:ascii="Arial" w:hAnsi="Arial"/>
          <w:b w:val="0"/>
          <w:i w:val="0"/>
          <w:color w:val="1F2937"/>
          <w:sz w:val="20"/>
        </w:rPr>
        <w:t>HSH's financial year end, which sets the annual general meeting and the annual return deadline in file 12. The Company Secretary confirms these, and the legal faculty confirms the statutory deadlines.</w:t>
      </w:r>
    </w:p>
    <w:p>
      <w:pPr>
        <w:spacing w:before="240" w:after="80"/>
      </w:pPr>
      <w:r>
        <w:rPr>
          <w:rFonts w:ascii="Arial" w:hAnsi="Arial"/>
          <w:b/>
          <w:i w:val="0"/>
          <w:color w:val="0B3C5D"/>
          <w:sz w:val="25"/>
        </w:rPr>
        <w:t>What the board is asked to do in September</w:t>
      </w:r>
    </w:p>
    <w:tbl>
      <w:tblPr>
        <w:tblStyle w:val="TableGrid"/>
        <w:tblW w:type="auto" w:w="0"/>
        <w:tblLook w:firstColumn="1" w:firstRow="1" w:lastColumn="0" w:lastRow="0" w:noHBand="0" w:noVBand="1" w:val="04A0"/>
      </w:tblPr>
      <w:tblGrid>
        <w:gridCol w:w="4896"/>
        <w:gridCol w:w="4896"/>
      </w:tblGrid>
      <w:tr>
        <w:tc>
          <w:tcPr>
            <w:tcW w:type="dxa" w:w="576"/>
            <w:shd w:val="clear" w:color="auto" w:fill="0B3C5D"/>
          </w:tcPr>
          <w:p>
            <w:pPr>
              <w:spacing w:after="20"/>
            </w:pPr>
            <w:r>
              <w:rPr>
                <w:rFonts w:ascii="Arial" w:hAnsi="Arial"/>
                <w:b/>
                <w:i w:val="0"/>
                <w:color w:val="FFFFFF"/>
                <w:sz w:val="17"/>
              </w:rPr>
              <w:t>#</w:t>
            </w:r>
          </w:p>
        </w:tc>
        <w:tc>
          <w:tcPr>
            <w:tcW w:type="dxa" w:w="8784"/>
            <w:shd w:val="clear" w:color="auto" w:fill="0B3C5D"/>
          </w:tcPr>
          <w:p>
            <w:pPr>
              <w:spacing w:after="20"/>
            </w:pPr>
            <w:r>
              <w:rPr>
                <w:rFonts w:ascii="Arial" w:hAnsi="Arial"/>
                <w:b/>
                <w:i w:val="0"/>
                <w:color w:val="FFFFFF"/>
                <w:sz w:val="17"/>
              </w:rPr>
              <w:t>Decision</w:t>
            </w:r>
          </w:p>
        </w:tc>
      </w:tr>
      <w:tr>
        <w:tc>
          <w:tcPr>
            <w:tcW w:type="dxa" w:w="576"/>
          </w:tcPr>
          <w:p>
            <w:pPr>
              <w:spacing w:after="20"/>
            </w:pPr>
            <w:r>
              <w:rPr>
                <w:rFonts w:ascii="Arial" w:hAnsi="Arial"/>
                <w:b w:val="0"/>
                <w:i w:val="0"/>
                <w:color w:val="1F2937"/>
                <w:sz w:val="17"/>
              </w:rPr>
              <w:t>1</w:t>
            </w:r>
          </w:p>
        </w:tc>
        <w:tc>
          <w:tcPr>
            <w:tcW w:type="dxa" w:w="8784"/>
          </w:tcPr>
          <w:p>
            <w:pPr>
              <w:spacing w:after="20"/>
            </w:pPr>
            <w:r>
              <w:rPr>
                <w:rFonts w:ascii="Arial" w:hAnsi="Arial"/>
                <w:b w:val="0"/>
                <w:i w:val="0"/>
                <w:color w:val="1F2937"/>
                <w:sz w:val="17"/>
              </w:rPr>
              <w:t>Adopt the instrument suite, instruments 1 to 11, with effect from this meeting</w:t>
            </w:r>
          </w:p>
        </w:tc>
      </w:tr>
      <w:tr>
        <w:tc>
          <w:tcPr>
            <w:tcW w:type="dxa" w:w="576"/>
            <w:shd w:val="clear" w:color="auto" w:fill="F1F5F9"/>
          </w:tcPr>
          <w:p>
            <w:pPr>
              <w:spacing w:after="20"/>
            </w:pPr>
            <w:r>
              <w:rPr>
                <w:rFonts w:ascii="Arial" w:hAnsi="Arial"/>
                <w:b w:val="0"/>
                <w:i w:val="0"/>
                <w:color w:val="1F2937"/>
                <w:sz w:val="17"/>
              </w:rPr>
              <w:t>2</w:t>
            </w:r>
          </w:p>
        </w:tc>
        <w:tc>
          <w:tcPr>
            <w:tcW w:type="dxa" w:w="8784"/>
            <w:shd w:val="clear" w:color="auto" w:fill="F1F5F9"/>
          </w:tcPr>
          <w:p>
            <w:pPr>
              <w:spacing w:after="20"/>
            </w:pPr>
            <w:r>
              <w:rPr>
                <w:rFonts w:ascii="Arial" w:hAnsi="Arial"/>
                <w:b w:val="0"/>
                <w:i w:val="0"/>
                <w:color w:val="1F2937"/>
                <w:sz w:val="17"/>
              </w:rPr>
              <w:t>Set the escalation thresholds, filling the bracketed values</w:t>
            </w:r>
          </w:p>
        </w:tc>
      </w:tr>
      <w:tr>
        <w:tc>
          <w:tcPr>
            <w:tcW w:type="dxa" w:w="576"/>
          </w:tcPr>
          <w:p>
            <w:pPr>
              <w:spacing w:after="20"/>
            </w:pPr>
            <w:r>
              <w:rPr>
                <w:rFonts w:ascii="Arial" w:hAnsi="Arial"/>
                <w:b w:val="0"/>
                <w:i w:val="0"/>
                <w:color w:val="1F2937"/>
                <w:sz w:val="17"/>
              </w:rPr>
              <w:t>3</w:t>
            </w:r>
          </w:p>
        </w:tc>
        <w:tc>
          <w:tcPr>
            <w:tcW w:type="dxa" w:w="8784"/>
          </w:tcPr>
          <w:p>
            <w:pPr>
              <w:spacing w:after="20"/>
            </w:pPr>
            <w:r>
              <w:rPr>
                <w:rFonts w:ascii="Arial" w:hAnsi="Arial"/>
                <w:b w:val="0"/>
                <w:i w:val="0"/>
                <w:color w:val="1F2937"/>
                <w:sz w:val="17"/>
              </w:rPr>
              <w:t>Set the RAG thresholds for the dashboard metrics</w:t>
            </w:r>
          </w:p>
        </w:tc>
      </w:tr>
      <w:tr>
        <w:tc>
          <w:tcPr>
            <w:tcW w:type="dxa" w:w="576"/>
            <w:shd w:val="clear" w:color="auto" w:fill="F1F5F9"/>
          </w:tcPr>
          <w:p>
            <w:pPr>
              <w:spacing w:after="20"/>
            </w:pPr>
            <w:r>
              <w:rPr>
                <w:rFonts w:ascii="Arial" w:hAnsi="Arial"/>
                <w:b w:val="0"/>
                <w:i w:val="0"/>
                <w:color w:val="1F2937"/>
                <w:sz w:val="17"/>
              </w:rPr>
              <w:t>4</w:t>
            </w:r>
          </w:p>
        </w:tc>
        <w:tc>
          <w:tcPr>
            <w:tcW w:type="dxa" w:w="8784"/>
            <w:shd w:val="clear" w:color="auto" w:fill="F1F5F9"/>
          </w:tcPr>
          <w:p>
            <w:pPr>
              <w:spacing w:after="20"/>
            </w:pPr>
            <w:r>
              <w:rPr>
                <w:rFonts w:ascii="Arial" w:hAnsi="Arial"/>
                <w:b w:val="0"/>
                <w:i w:val="0"/>
                <w:color w:val="1F2937"/>
                <w:sz w:val="17"/>
              </w:rPr>
              <w:t>Adopt the calendar, and confirm six-weekly for the first three meetings</w:t>
            </w:r>
          </w:p>
        </w:tc>
      </w:tr>
      <w:tr>
        <w:tc>
          <w:tcPr>
            <w:tcW w:type="dxa" w:w="576"/>
          </w:tcPr>
          <w:p>
            <w:pPr>
              <w:spacing w:after="20"/>
            </w:pPr>
            <w:r>
              <w:rPr>
                <w:rFonts w:ascii="Arial" w:hAnsi="Arial"/>
                <w:b w:val="0"/>
                <w:i w:val="0"/>
                <w:color w:val="1F2937"/>
                <w:sz w:val="17"/>
              </w:rPr>
              <w:t>5</w:t>
            </w:r>
          </w:p>
        </w:tc>
        <w:tc>
          <w:tcPr>
            <w:tcW w:type="dxa" w:w="8784"/>
          </w:tcPr>
          <w:p>
            <w:pPr>
              <w:spacing w:after="20"/>
            </w:pPr>
            <w:r>
              <w:rPr>
                <w:rFonts w:ascii="Arial" w:hAnsi="Arial"/>
                <w:b w:val="0"/>
                <w:i w:val="0"/>
                <w:color w:val="1F2937"/>
                <w:sz w:val="17"/>
              </w:rPr>
              <w:t>Confirm the delegation thresholds, which the escalation schedule depends on</w:t>
            </w:r>
          </w:p>
        </w:tc>
      </w:tr>
      <w:tr>
        <w:tc>
          <w:tcPr>
            <w:tcW w:type="dxa" w:w="576"/>
            <w:shd w:val="clear" w:color="auto" w:fill="F1F5F9"/>
          </w:tcPr>
          <w:p>
            <w:pPr>
              <w:spacing w:after="20"/>
            </w:pPr>
            <w:r>
              <w:rPr>
                <w:rFonts w:ascii="Arial" w:hAnsi="Arial"/>
                <w:b w:val="0"/>
                <w:i w:val="0"/>
                <w:color w:val="1F2937"/>
                <w:sz w:val="17"/>
              </w:rPr>
              <w:t>6</w:t>
            </w:r>
          </w:p>
        </w:tc>
        <w:tc>
          <w:tcPr>
            <w:tcW w:type="dxa" w:w="8784"/>
            <w:shd w:val="clear" w:color="auto" w:fill="F1F5F9"/>
          </w:tcPr>
          <w:p>
            <w:pPr>
              <w:spacing w:after="20"/>
            </w:pPr>
            <w:r>
              <w:rPr>
                <w:rFonts w:ascii="Arial" w:hAnsi="Arial"/>
                <w:b w:val="0"/>
                <w:i w:val="0"/>
                <w:color w:val="1F2937"/>
                <w:sz w:val="17"/>
              </w:rPr>
              <w:t>Instruct the Company Secretary to administer the suite, maintain the registers, and report compliance with the seven-day pack rule at each meeting</w:t>
            </w:r>
          </w:p>
        </w:tc>
      </w:tr>
    </w:tbl>
    <w:p>
      <w:pPr>
        <w:spacing w:after="40"/>
      </w:pPr>
    </w:p>
    <w:p>
      <w:r>
        <w:rPr>
          <w:rFonts w:ascii="Arial" w:hAnsi="Arial"/>
          <w:b w:val="0"/>
          <w:i/>
          <w:color w:val="1F2937"/>
          <w:sz w:val="20"/>
        </w:rPr>
        <w:t>Once those six are minuted, the governance framework is not a document. It is the operating reality.</w:t>
      </w:r>
    </w:p>
    <w:p/>
    <w:p>
      <w:r>
        <w:rPr>
          <w:rFonts w:ascii="Arial" w:hAnsi="Arial"/>
          <w:b w:val="0"/>
          <w:i w:val="0"/>
          <w:color w:val="6B7280"/>
          <w:sz w:val="17"/>
        </w:rPr>
        <w:t>Prepared by Dr Debo Odulana for the Board of Havana Specialist Hospital. Consult for Africa. Confidential. These instruments set governance process and are not legal advice; statutory deadlines, filing obligations, and the requirements of the articles are confirmed by the company's legal advisers and the Company Secretary.</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i w:val="0"/>
        <w:color w:val="6B7280"/>
        <w:sz w:val="15"/>
      </w:rPr>
      <w:t>Consult for Africa   /   Confidential   /   How to use this 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1F7A8C"/>
        <w:sz w:val="16"/>
      </w:rPr>
      <w:t>HAVANA SPECIALIST HOSPITAL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