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i w:val="0"/>
          <w:color w:val="1F7A8C"/>
          <w:sz w:val="17"/>
        </w:rPr>
        <w:t>INSTRUMENT 3</w:t>
      </w:r>
    </w:p>
    <w:p>
      <w:pPr>
        <w:spacing w:after="60"/>
      </w:pPr>
      <w:r>
        <w:rPr>
          <w:rFonts w:ascii="Arial" w:hAnsi="Arial"/>
          <w:b/>
          <w:i w:val="0"/>
          <w:color w:val="0B3C5D"/>
          <w:sz w:val="38"/>
        </w:rPr>
        <w:t>Board Paper</w:t>
      </w:r>
    </w:p>
    <w:p>
      <w:pPr>
        <w:spacing w:after="160"/>
      </w:pPr>
      <w:r>
        <w:rPr>
          <w:rFonts w:ascii="Arial" w:hAnsi="Arial"/>
          <w:b w:val="0"/>
          <w:i w:val="0"/>
          <w:color w:val="6B7280"/>
          <w:sz w:val="21"/>
        </w:rPr>
        <w:t>The one-page decision paper. No matter comes to the board for decision without one.</w:t>
      </w:r>
    </w:p>
    <w:p>
      <w:pPr>
        <w:spacing w:after="20"/>
      </w:pPr>
      <w:r>
        <w:rPr>
          <w:rFonts w:ascii="Arial" w:hAnsi="Arial"/>
          <w:b w:val="0"/>
          <w:i w:val="0"/>
          <w:color w:val="6B7280"/>
          <w:sz w:val="17"/>
        </w:rPr>
        <w:t>Template issued by Consult for Africa for the Board of Havana Specialist Hospital Limited.</w:t>
      </w:r>
    </w:p>
    <w:p>
      <w:pPr>
        <w:spacing w:after="20"/>
      </w:pPr>
      <w:r>
        <w:rPr>
          <w:rFonts w:ascii="Arial" w:hAnsi="Arial"/>
          <w:b w:val="0"/>
          <w:i w:val="0"/>
          <w:color w:val="6B7280"/>
          <w:sz w:val="17"/>
        </w:rPr>
        <w:t>Adopted by the Board on [date]. Administered by the Company Secretary.</w:t>
      </w:r>
    </w:p>
    <w:p>
      <w:pPr>
        <w:spacing w:after="20"/>
      </w:pPr>
      <w:r>
        <w:rPr>
          <w:rFonts w:ascii="Arial" w:hAnsi="Arial"/>
          <w:b w:val="0"/>
          <w:i w:val="0"/>
          <w:color w:val="6B7280"/>
          <w:sz w:val="17"/>
        </w:rPr>
        <w:t>Complete every field in [square brackets]. Delete the italic guidance before circulating.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Paper number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[BD/2026/09/01]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Meeting and date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[Board, 24 September 2026]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Title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[short, plain title]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Sponsor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[the executive who owns this]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Author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[if different from the sponsor]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Committee route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[which committee reviewed it, and what it recommended]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Type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[DECISION / DISCUSSION / NOTING]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1. The decision requested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BF6E6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0B3C5D"/>
                <w:sz w:val="17"/>
              </w:rPr>
              <w:t>One sentence. "The board is asked to approve X, at a cost of Y, funded from Z." If you cannot write this sentence, the paper is not ready.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2. Why now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BF6E6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0B3C5D"/>
                <w:sz w:val="17"/>
              </w:rPr>
              <w:t>Two or three sentences. What has changed, and what happens if the board does not decide at this meeting.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3. Background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BF6E6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0B3C5D"/>
                <w:sz w:val="17"/>
              </w:rPr>
              <w:t>Short. Assume directors have read the last pack, not the last decade.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4. The options considered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BF6E6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0B3C5D"/>
                <w:sz w:val="17"/>
              </w:rPr>
              <w:t>Option A, with cost, benefit, and risk. Option B, the same. Option C, do nothing, and the consequence of it.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5. Recommendation and why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BF6E6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0B3C5D"/>
                <w:sz w:val="17"/>
              </w:rPr>
              <w:t>Which option, and the reasoning in plain terms.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6. Financial effect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BF6E6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0B3C5D"/>
                <w:sz w:val="17"/>
              </w:rPr>
              <w:t>Capital and revenue effect, budget line, whether budgeted or not, payback or return where relevant, cash effect and timing.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7. Risks and mitigations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BF6E6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0B3C5D"/>
                <w:sz w:val="17"/>
              </w:rPr>
              <w:t>The three that matter, and who owns each.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8. Legal, regulatory, and clinical implications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BF6E6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0B3C5D"/>
                <w:sz w:val="17"/>
              </w:rPr>
              <w:t>Including whether this is a reserved matter, whether it touches the Afya agreement, and whether any related party is involved.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9. Who is affected, and who has been consulted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BF6E6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0B3C5D"/>
                <w:sz w:val="17"/>
              </w:rPr>
              <w:t>Including staff, clinicians, and where relevant both shareholder families.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10. How we will know it worked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BF6E6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0B3C5D"/>
                <w:sz w:val="17"/>
              </w:rPr>
              <w:t>The measure, the target, and the date it comes back to the board.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Prepared by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[name, role, date]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BF6E6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0B3C5D"/>
                <w:sz w:val="17"/>
              </w:rPr>
              <w:t>Section 10 is the one most often omitted and the one that most changes behaviour. A board that always asks how we will know it worked, and when it comes back, gets better proposals within two cycles.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i w:val="0"/>
        <w:color w:val="6B7280"/>
        <w:sz w:val="15"/>
      </w:rPr>
      <w:t>Consult for Africa   /   Confidential   /   Instrument 3, Board Paper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1F7A8C"/>
        <w:sz w:val="16"/>
      </w:rPr>
      <w:t>HAVANA SPECIALIST HOSPITAL LIMITED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