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i w:val="0"/>
          <w:color w:val="1F7A8C"/>
          <w:sz w:val="17"/>
        </w:rPr>
        <w:t>INSTRUMENT 4</w:t>
      </w:r>
    </w:p>
    <w:p>
      <w:pPr>
        <w:spacing w:after="60"/>
      </w:pPr>
      <w:r>
        <w:rPr>
          <w:rFonts w:ascii="Arial" w:hAnsi="Arial"/>
          <w:b/>
          <w:i w:val="0"/>
          <w:color w:val="0B3C5D"/>
          <w:sz w:val="38"/>
        </w:rPr>
        <w:t>Committee Report to the Board</w:t>
      </w:r>
    </w:p>
    <w:p>
      <w:pPr>
        <w:spacing w:after="160"/>
      </w:pPr>
      <w:r>
        <w:rPr>
          <w:rFonts w:ascii="Arial" w:hAnsi="Arial"/>
          <w:b w:val="0"/>
          <w:i w:val="0"/>
          <w:color w:val="6B7280"/>
          <w:sz w:val="21"/>
        </w:rPr>
        <w:t>One page. The same shape for all five board committees and for the Afya-HSH Governance Committee.</w:t>
      </w:r>
    </w:p>
    <w:p>
      <w:pPr>
        <w:spacing w:after="20"/>
      </w:pPr>
      <w:r>
        <w:rPr>
          <w:rFonts w:ascii="Arial" w:hAnsi="Arial"/>
          <w:b w:val="0"/>
          <w:i w:val="0"/>
          <w:color w:val="6B7280"/>
          <w:sz w:val="17"/>
        </w:rPr>
        <w:t>Template issued by Consult for Africa for the Board of Havana Specialist Hospital Limited.</w:t>
      </w:r>
    </w:p>
    <w:p>
      <w:pPr>
        <w:spacing w:after="20"/>
      </w:pPr>
      <w:r>
        <w:rPr>
          <w:rFonts w:ascii="Arial" w:hAnsi="Arial"/>
          <w:b w:val="0"/>
          <w:i w:val="0"/>
          <w:color w:val="6B7280"/>
          <w:sz w:val="17"/>
        </w:rPr>
        <w:t>Adopted by the Board on [date]. Administered by the Company Secretary.</w:t>
      </w:r>
    </w:p>
    <w:p>
      <w:pPr>
        <w:spacing w:after="20"/>
      </w:pPr>
      <w:r>
        <w:rPr>
          <w:rFonts w:ascii="Arial" w:hAnsi="Arial"/>
          <w:b w:val="0"/>
          <w:i w:val="0"/>
          <w:color w:val="6B7280"/>
          <w:sz w:val="17"/>
        </w:rPr>
        <w:t>Complete every field in [square brackets]. Delete the italic guidance before circulating.</w:t>
      </w:r>
    </w:p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One page. The board reads six of these in one familiar format, so resist the urge to redesign it. Detail belongs in the committee, not here.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Committee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[committee name]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Chair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[name]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Meeting date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[date]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Attendance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[x] of [y]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Quorate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[Yes / No]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Reporting to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Board meeting of [date]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1. What we decided, within our delegated authority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2. What we are assured 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The two or three things the committee has satisfied itself about, and on what evidence.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3. What we are not yet assured on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Say it plainly. This section is the reason the committee exists. "Nothing" is an acceptable answer once, and a warning sign twice.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4. Exceptions and variances we examined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584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Metric</w:t>
            </w:r>
          </w:p>
        </w:tc>
        <w:tc>
          <w:tcPr>
            <w:tcW w:type="dxa" w:w="792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Plan</w:t>
            </w:r>
          </w:p>
        </w:tc>
        <w:tc>
          <w:tcPr>
            <w:tcW w:type="dxa" w:w="792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Actual</w:t>
            </w:r>
          </w:p>
        </w:tc>
        <w:tc>
          <w:tcPr>
            <w:tcW w:type="dxa" w:w="2160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Explanation</w:t>
            </w:r>
          </w:p>
        </w:tc>
        <w:tc>
          <w:tcPr>
            <w:tcW w:type="dxa" w:w="2016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Action</w:t>
            </w:r>
          </w:p>
        </w:tc>
        <w:tc>
          <w:tcPr>
            <w:tcW w:type="dxa" w:w="1080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</w:t>
            </w:r>
          </w:p>
        </w:tc>
        <w:tc>
          <w:tcPr>
            <w:tcW w:type="dxa" w:w="936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By when</w:t>
            </w:r>
          </w:p>
        </w:tc>
      </w:tr>
      <w:tr>
        <w:tc>
          <w:tcPr>
            <w:tcW w:type="dxa" w:w="158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8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3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58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160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01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80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3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58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16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01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8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36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158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792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160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01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80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936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5. Risks we are escalating to the board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3888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Risk</w:t>
            </w:r>
          </w:p>
        </w:tc>
        <w:tc>
          <w:tcPr>
            <w:tcW w:type="dxa" w:w="1008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Rating</w:t>
            </w:r>
          </w:p>
        </w:tc>
        <w:tc>
          <w:tcPr>
            <w:tcW w:type="dxa" w:w="2520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Movement since last quarter</w:t>
            </w:r>
          </w:p>
        </w:tc>
        <w:tc>
          <w:tcPr>
            <w:tcW w:type="dxa" w:w="1944"/>
            <w:shd w:val="clear" w:color="auto" w:fill="0B3C5D"/>
          </w:tcPr>
          <w:p>
            <w:pPr>
              <w:spacing w:after="20"/>
            </w:pPr>
            <w:r>
              <w:rPr>
                <w:rFonts w:ascii="Arial" w:hAnsi="Arial"/>
                <w:b/>
                <w:i w:val="0"/>
                <w:color w:val="FFFFFF"/>
                <w:sz w:val="17"/>
              </w:rPr>
              <w:t>Owner</w:t>
            </w:r>
          </w:p>
        </w:tc>
      </w:tr>
      <w:tr>
        <w:tc>
          <w:tcPr>
            <w:tcW w:type="dxa" w:w="388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0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94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3888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08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520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944"/>
            <w:shd w:val="clear" w:color="auto" w:fill="F1F5F9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  <w:tr>
        <w:tc>
          <w:tcPr>
            <w:tcW w:type="dxa" w:w="388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008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2520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  <w:tc>
          <w:tcPr>
            <w:tcW w:type="dxa" w:w="1944"/>
          </w:tcPr>
          <w:p>
            <w:pPr>
              <w:spacing w:after="20"/>
            </w:pPr>
            <w:r>
              <w:rPr>
                <w:rFonts w:ascii="Arial" w:hAnsi="Arial"/>
                <w:b w:val="0"/>
                <w:i w:val="0"/>
                <w:color w:val="1F2937"/>
                <w:sz w:val="17"/>
              </w:rPr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6. What we need from the board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DECISION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[specific ask, cross-referenced to the board paper number]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STEER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[where the committee wants the board's direction]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NOTING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[everything else]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7. Our next meeting, and what is on it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  <w:tr>
        <w:tc>
          <w:tcPr>
            <w:tcW w:type="dxa" w:w="9792"/>
          </w:tcPr>
          <w:p>
            <w:pPr>
              <w:spacing w:after="120"/>
            </w:pPr>
            <w:r>
              <w:rPr>
                <w:rFonts w:ascii="Arial" w:hAnsi="Arial"/>
                <w:b w:val="0"/>
                <w:i w:val="0"/>
                <w:color w:val="1F2937"/>
                <w:sz w:val="20"/>
              </w:rPr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rFonts w:ascii="Arial" w:hAnsi="Arial"/>
          <w:b/>
          <w:i w:val="0"/>
          <w:color w:val="0B3C5D"/>
          <w:sz w:val="25"/>
        </w:rPr>
        <w:t>Standing content by committee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792"/>
      </w:tblGrid>
      <w:tr>
        <w:tc>
          <w:tcPr>
            <w:tcW w:type="dxa" w:w="9792"/>
            <w:shd w:val="clear" w:color="auto" w:fill="FBF6E6"/>
          </w:tcPr>
          <w:p>
            <w:pPr>
              <w:spacing w:after="0"/>
            </w:pPr>
            <w:r>
              <w:rPr>
                <w:rFonts w:ascii="Arial" w:hAnsi="Arial"/>
                <w:b w:val="0"/>
                <w:i/>
                <w:color w:val="0B3C5D"/>
                <w:sz w:val="17"/>
              </w:rPr>
              <w:t>The format is common; the content is not. Each committee brings its own standing set to sections 2 to 5.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Finance, Investment and Operations Committee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Management accounts against budget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Cash and working capital position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Debtor and HMO receivable position, aged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Capital and investment appraisals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Operational KPIs and delivery against plan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The commercial performance of the Afya arrangement</w:t>
      </w: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Audit and Risk Committee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Internal control findings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Internal and external audit progress and findings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The enterprise risk register and its movements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Related-party transactions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Statutory filings and compliance status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Going-concern judgement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The independent read on Afya's financial delivery</w:t>
      </w: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Quality and Clinical Governance Committee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Clinical quality and safety metrics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Serious incidents and never events, with the learning from each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Mortality and morbidity review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Infection prevention and control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Complaints and patient experience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Credentialing currency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Accreditation and regulatory readiness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Clinical risk feeding the single enterprise register</w:t>
      </w: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People and Remuneration Committee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Board composition and the appointment pipeline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Induction and board evaluation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Executive and senior remuneration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The workforce position, including vacancy and turnover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The conflicts and related-party register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The sitting allowance and participation policy</w:t>
      </w: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Transformation and Digital Committee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Roadmap milestones against plan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System selection and implementation status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Data governance and information security posture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Benefits realised against the business case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The committee's own sunset review</w:t>
      </w:r>
    </w:p>
    <w:p>
      <w:pPr>
        <w:spacing w:before="160" w:after="60"/>
      </w:pPr>
      <w:r>
        <w:rPr>
          <w:rFonts w:ascii="Arial" w:hAnsi="Arial"/>
          <w:b/>
          <w:i w:val="0"/>
          <w:color w:val="1F7A8C"/>
          <w:sz w:val="21"/>
        </w:rPr>
        <w:t>Afya-HSH Governance Committee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Operational performance against the agreed KPI set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Partnership milestones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Service issues and their resolution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Decisions taken within delegated authority</w:t>
      </w:r>
    </w:p>
    <w:p>
      <w:pPr>
        <w:pStyle w:val="ListBullet"/>
        <w:spacing w:after="60"/>
      </w:pPr>
      <w:r>
        <w:rPr>
          <w:rFonts w:ascii="Arial" w:hAnsi="Arial"/>
          <w:b w:val="0"/>
          <w:i w:val="0"/>
          <w:color w:val="1F2937"/>
          <w:sz w:val="20"/>
        </w:rPr>
        <w:t>Matters escalated to the board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896"/>
        <w:gridCol w:w="4896"/>
      </w:tblGrid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Signed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[chair]</w:t>
            </w:r>
          </w:p>
        </w:tc>
      </w:tr>
      <w:tr>
        <w:tc>
          <w:tcPr>
            <w:tcW w:type="dxa" w:w="2736"/>
          </w:tcPr>
          <w:p>
            <w:pPr>
              <w:spacing w:after="40"/>
            </w:pPr>
            <w:r>
              <w:rPr>
                <w:rFonts w:ascii="Arial" w:hAnsi="Arial"/>
                <w:b/>
                <w:i w:val="0"/>
                <w:color w:val="0B3C5D"/>
                <w:sz w:val="19"/>
              </w:rPr>
              <w:t>Date</w:t>
            </w:r>
          </w:p>
        </w:tc>
        <w:tc>
          <w:tcPr>
            <w:tcW w:type="dxa" w:w="6624"/>
          </w:tcPr>
          <w:p>
            <w:pPr>
              <w:spacing w:after="40"/>
            </w:pPr>
            <w:r>
              <w:rPr>
                <w:rFonts w:ascii="Arial" w:hAnsi="Arial"/>
                <w:b w:val="0"/>
                <w:i w:val="0"/>
                <w:color w:val="6B7280"/>
                <w:sz w:val="19"/>
              </w:rPr>
              <w:t>[date]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i w:val="0"/>
        <w:color w:val="6B7280"/>
        <w:sz w:val="15"/>
      </w:rPr>
      <w:t>Consult for Africa   /   Confidential   /   Instrument 4, Committee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i w:val="0"/>
        <w:color w:val="1F7A8C"/>
        <w:sz w:val="16"/>
      </w:rPr>
      <w:t>HAVANA SPECIALIST HOSPITAL LIMITED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