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B3A5C"/>
          <w:sz w:val="40"/>
        </w:rPr>
        <w:t>Instrumen Observasi Pembelajaran STEM</w:t>
      </w:r>
    </w:p>
    <w:p>
      <w:pPr>
        <w:spacing w:before="0" w:after="40"/>
        <w:jc w:val="center"/>
      </w:pPr>
      <w:r>
        <w:rPr>
          <w:rFonts w:ascii="Calibri" w:hAnsi="Calibri"/>
          <w:b/>
          <w:i w:val="0"/>
          <w:color w:val="0E7A6B"/>
          <w:sz w:val="22"/>
        </w:rPr>
        <w:t>Bimtek “Supervisi Pembelajaran STEM: dari Observasi hingga Pembinaan”</w:t>
      </w: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5A6B7A"/>
          <w:sz w:val="18"/>
        </w:rPr>
        <w:t>Instrumen ini dipakai dalam Bimtek Supervisi Pembelajaran STEM untuk pengawas sekolah. Isi saat mengamati pembelajaran di kelas, lalu gunakan hasilnya sebagai dasar percakapan pembinaan dengan guru.</w:t>
      </w:r>
    </w:p>
    <w:p>
      <w:pPr>
        <w:spacing w:before="40" w:after="60"/>
      </w:pPr>
      <w:r>
        <w:rPr>
          <w:rFonts w:ascii="Calibri" w:hAnsi="Calibri"/>
          <w:b/>
          <w:i w:val="0"/>
          <w:color w:val="1B3A5C"/>
          <w:sz w:val="22"/>
        </w:rPr>
        <w:t>Petunjuk pengisian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EAF2F1"/>
          </w:tcPr>
          <w:p>
            <w:pPr>
              <w:pStyle w:val="ListBullet"/>
              <w:spacing w:after="20" w:before="20"/>
            </w:pPr>
            <w:r>
              <w:rPr>
                <w:rFonts w:ascii="Calibri" w:hAnsi="Calibri"/>
                <w:sz w:val="18"/>
              </w:rPr>
              <w:t>Amati bukti, bukan kesan. Tulis apa yang benar-benar Bapak/Ibu lihat dan dengar di kelas.</w:t>
            </w:r>
          </w:p>
          <w:p>
            <w:pPr>
              <w:pStyle w:val="ListBullet"/>
              <w:spacing w:after="20" w:before="20"/>
            </w:pPr>
            <w:r>
              <w:rPr>
                <w:rFonts w:ascii="Calibri" w:hAnsi="Calibri"/>
                <w:sz w:val="18"/>
              </w:rPr>
              <w:t>Tulis bukti secara konkret dan singkat, misalnya kutipan pertanyaan siswa, langkah kerja kelompok, atau data yang dipakai siswa untuk memutuskan desain.</w:t>
            </w:r>
          </w:p>
          <w:p>
            <w:pPr>
              <w:pStyle w:val="ListBullet"/>
              <w:spacing w:after="20" w:before="20"/>
            </w:pPr>
            <w:r>
              <w:rPr>
                <w:rFonts w:ascii="Calibri" w:hAnsi="Calibri"/>
                <w:sz w:val="18"/>
              </w:rPr>
              <w:t>Satu indikator boleh diisi “Belum Terlihat” tanpa menyalahkan guru. Artinya bukti itu belum tampak pada sesi yang diamati, dan justru menjadi bahan diskusi pembinaan.</w:t>
            </w:r>
          </w:p>
          <w:p>
            <w:pPr>
              <w:pStyle w:val="ListBullet"/>
              <w:spacing w:after="20" w:before="20"/>
            </w:pPr>
            <w:r>
              <w:rPr>
                <w:rFonts w:ascii="Calibri" w:hAnsi="Calibri"/>
                <w:sz w:val="18"/>
              </w:rPr>
              <w:t>Centang (✓) salah satu pilihan pada kolom Terlihat / Belum Terlihat untuk setiap indikator.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1B3A5C"/>
          <w:sz w:val="22"/>
        </w:rPr>
        <w:t>Identitas observasi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1928"/>
        <w:gridCol w:w="3175"/>
      </w:tblGrid>
      <w:tr>
        <w:trPr>
          <w:trHeight w:val="425"/>
        </w:trPr>
        <w:tc>
          <w:tcPr>
            <w:tcW w:type="dxa" w:w="2381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Nama guru yang diobservasi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28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Kelas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2381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Sekolah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28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Materi / proyek STEM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trHeight w:val="425"/>
        </w:trPr>
        <w:tc>
          <w:tcPr>
            <w:tcW w:type="dxa" w:w="2381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Tanggal observasi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928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8"/>
              </w:rPr>
              <w:t>Nama pengawas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1B3A5C"/>
          <w:sz w:val="22"/>
        </w:rPr>
        <w:t>Indikator observasi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4309"/>
        <w:gridCol w:w="1928"/>
        <w:gridCol w:w="3345"/>
      </w:tblGrid>
      <w:tr>
        <w:tc>
          <w:tcPr>
            <w:tcW w:type="dxa" w:w="510"/>
            <w:shd w:val="clear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309"/>
            <w:shd w:val="clear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Indikator</w:t>
            </w:r>
          </w:p>
        </w:tc>
        <w:tc>
          <w:tcPr>
            <w:tcW w:type="dxa" w:w="1928"/>
            <w:shd w:val="clear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Terlihat / Belum Terlihat</w:t>
            </w:r>
          </w:p>
        </w:tc>
        <w:tc>
          <w:tcPr>
            <w:tcW w:type="dxa" w:w="3345"/>
            <w:shd w:val="clear" w:fill="1B3A5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Bukti yang diamati (catatan singkat)</w:t>
            </w:r>
          </w:p>
        </w:tc>
      </w:tr>
      <w:tr>
        <w:tc>
          <w:tcPr>
            <w:tcW w:type="dxa" w:w="3345"/>
            <w:gridSpan w:val="4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5C"/>
                <w:sz w:val="19"/>
              </w:rPr>
              <w:t>A. Perencanaan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Tujuan pembelajaran mengintegrasikan minimal dua bidang STEM (Sains, Teknologi, Rekayasa, Matematika).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Masalah yang diangkat kontekstual dan nyata bagi siswa.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Tahapan Engineering Design Process (Proses Desain Rekayasa) dirancang jelas.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Rencana asesmen mencakup proses dan produk.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45"/>
            <w:gridSpan w:val="4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5C"/>
                <w:sz w:val="19"/>
              </w:rPr>
              <w:t>B. Pelaksanaan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Siswa mengidentifikasi masalah dan mengajukan pertanyaan.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Siswa merancang, membuat, dan menguji — bukan hanya mendengarkan penjelasan.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Guru memfasilitasi, bukan mendominasi pembelajaran.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Kerja sama kelompok berjalan dengan pembagian peran.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Teknologi digunakan untuk menyelidiki atau memodelkan, bukan sekadar tayangan.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Matematika dan sains dipakai sebagai alat untuk mengambil keputusan desain.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3345"/>
            <w:gridSpan w:val="4"/>
            <w:shd w:val="clear" w:fill="DCE9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1B3A5C"/>
                <w:sz w:val="19"/>
              </w:rPr>
              <w:t>C. Asesmen dan refleksi</w:t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Penilaian mencakup proses (observasi / diskusi) dan produk.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Siswa merefleksi dan memperbaiki desainnya.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Ada tindak lanjut atau pengayaan yang jelas.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☐ Terlihat    ☐ Belum Terlihat</w:t>
            </w:r>
          </w:p>
        </w:tc>
        <w:tc>
          <w:tcPr>
            <w:tcW w:type="dxa" w:w="334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i w:val="0"/>
          <w:color w:val="1B3A5C"/>
          <w:sz w:val="22"/>
        </w:rPr>
        <w:t>Kesimpulan observasi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5A6B7A"/>
          <w:sz w:val="18"/>
        </w:rPr>
        <w:t>Tuliskan berdasarkan bukti yang tercatat di atas. Kesimpulan ini menjadi dasar percakapan pembinaan dengan guru setelah observasi.</w:t>
      </w:r>
    </w:p>
    <w:p>
      <w:pPr>
        <w:spacing w:before="80" w:after="20"/>
      </w:pPr>
      <w:r>
        <w:rPr>
          <w:rFonts w:ascii="Calibri" w:hAnsi="Calibri"/>
          <w:b/>
          <w:i w:val="0"/>
          <w:color w:val="0E7A6B"/>
          <w:sz w:val="20"/>
        </w:rPr>
        <w:t>Kekuatan pembelajaran</w:t>
      </w:r>
    </w:p>
    <w:p>
      <w:pPr>
        <w:spacing w:before="0" w:after="40"/>
      </w:pPr>
      <w:r>
        <w:rPr>
          <w:rFonts w:ascii="Calibri" w:hAnsi="Calibri"/>
          <w:b w:val="0"/>
          <w:i/>
          <w:color w:val="5A6B7A"/>
          <w:sz w:val="17"/>
        </w:rPr>
        <w:t>Tulis 2–3 kekuatan yang didukung bukti observasi.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581"/>
      </w:tblGrid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i w:val="0"/>
          <w:color w:val="0E7A6B"/>
          <w:sz w:val="20"/>
        </w:rPr>
        <w:t>Area pengembangan</w:t>
      </w:r>
    </w:p>
    <w:p>
      <w:pPr>
        <w:spacing w:before="0" w:after="40"/>
      </w:pPr>
      <w:r>
        <w:rPr>
          <w:rFonts w:ascii="Calibri" w:hAnsi="Calibri"/>
          <w:b w:val="0"/>
          <w:i/>
          <w:color w:val="5A6B7A"/>
          <w:sz w:val="17"/>
        </w:rPr>
        <w:t>Tulis 2–3 area yang paling perlu dikembangkan, beserta buktinya.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581"/>
      </w:tblGrid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80" w:after="20"/>
      </w:pPr>
      <w:r>
        <w:rPr>
          <w:rFonts w:ascii="Calibri" w:hAnsi="Calibri"/>
          <w:b/>
          <w:i w:val="0"/>
          <w:color w:val="0E7A6B"/>
          <w:sz w:val="20"/>
        </w:rPr>
        <w:t>Rekomendasi awal</w:t>
      </w:r>
    </w:p>
    <w:p>
      <w:pPr>
        <w:spacing w:before="0" w:after="40"/>
      </w:pPr>
      <w:r>
        <w:rPr>
          <w:rFonts w:ascii="Calibri" w:hAnsi="Calibri"/>
          <w:b w:val="0"/>
          <w:i/>
          <w:color w:val="5A6B7A"/>
          <w:sz w:val="17"/>
        </w:rPr>
        <w:t>Tulis rekomendasi konkret yang dapat ditindaklanjuti guru, misalnya langkah berikutnya, dukungan yang dibutuhkan, dan waktu peninjauannya.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581"/>
      </w:tblGrid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3.</w:t>
            </w:r>
          </w:p>
        </w:tc>
        <w:tc>
          <w:tcPr>
            <w:tcW w:type="dxa" w:w="95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/>
          <w:b w:val="0"/>
          <w:i w:val="0"/>
          <w:sz w:val="1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Guru yang diobservasi,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t>Pengawas sekolah,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br/>
              <w:br/>
              <w:t>( ______________________________ )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18"/>
              </w:rPr>
              <w:br/>
              <w:br/>
              <w:t>( ______________________________ 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B7A"/>
        <w:sz w:val="15"/>
      </w:rPr>
      <w:t>Instrumen Observasi Pembelajaran STEM  •  Bimtek Supervisi Pembelajaran STEM: dari Observasi hingga Pembinaan  •  Untuk pengawas sekolah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Observasi Pembelajaran STEM</dc:title>
  <dc:subject>Bimtek Supervisi Pembelajaran STEM: dari Observasi hingga Pembinaan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