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b/>
          <w:bCs/>
          <w:color w:val="004898"/>
          <w:sz w:val="40"/>
          <w:szCs w:val="40"/>
        </w:rPr>
        <w:t xml:space="preserve">T2 TECHNOLOGIES</w:t>
      </w:r>
    </w:p>
    <w:p>
      <w:pPr>
        <w:spacing w:after="60"/>
      </w:pPr>
      <w:r>
        <w:rPr>
          <w:color w:val="1F2937"/>
          <w:sz w:val="24"/>
          <w:szCs w:val="24"/>
        </w:rPr>
        <w:t xml:space="preserve">Feeder Balancing Module (FBM) Tool — Tender Enquiry 3239CXMWP</w:t>
      </w:r>
    </w:p>
    <w:p>
      <w:pPr>
        <w:spacing w:after="300"/>
      </w:pPr>
      <w:r>
        <w:rPr>
          <w:b/>
          <w:bCs/>
          <w:color w:val="A39273"/>
          <w:sz w:val="28"/>
          <w:szCs w:val="28"/>
        </w:rPr>
        <w:t xml:space="preserve">Author work package — Thabiso</w:t>
      </w:r>
    </w:p>
    <w:p>
      <w:pPr>
        <w:spacing w:after="240"/>
      </w:pPr>
      <w:r>
        <w:rPr>
          <w:color w:val="1F2937"/>
          <w:sz w:val="22"/>
          <w:szCs w:val="22"/>
        </w:rPr>
        <w:t xml:space="preserve">This brief consolidates every section of the tender submission draft assigned to Thabiso, with the current draft content reproduced in full so each section can be developed independently before being merged back into the master document.</w:t>
      </w:r>
    </w:p>
    <w:p>
      <w:pPr>
        <w:spacing w:after="120" w:before="120"/>
      </w:pPr>
      <w:r>
        <w:rPr>
          <w:b/>
          <w:bCs/>
          <w:color w:val="004898"/>
          <w:sz w:val="26"/>
          <w:szCs w:val="26"/>
        </w:rPr>
        <w:t xml:space="preserve">Assignment Summary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004898" w:val="clear"/>
            <w:tcMar>
              <w:top w:type="dxa" w:w="60"/>
              <w:left w:type="dxa" w:w="80"/>
              <w:bottom w:type="dxa" w:w="60"/>
              <w:right w:type="dxa" w:w="80"/>
            </w:tcMar>
          </w:tcPr>
          <w:p>
            <w:r>
              <w:rPr>
                <w:b/>
                <w:bCs/>
                <w:color w:val="FFFFFF"/>
                <w:sz w:val="20"/>
                <w:szCs w:val="20"/>
              </w:rPr>
              <w:t xml:space="preserve">Section</w:t>
            </w:r>
          </w:p>
        </w:tc>
        <w:tc>
          <w:tcPr>
            <w:shd w:fill="004898" w:val="clear"/>
            <w:tcMar>
              <w:top w:type="dxa" w:w="60"/>
              <w:left w:type="dxa" w:w="80"/>
              <w:bottom w:type="dxa" w:w="60"/>
              <w:right w:type="dxa" w:w="80"/>
            </w:tcMar>
          </w:tcPr>
          <w:p>
            <w:r>
              <w:rPr>
                <w:b/>
                <w:bCs/>
                <w:color w:val="FFFFFF"/>
                <w:sz w:val="20"/>
                <w:szCs w:val="20"/>
              </w:rPr>
              <w:t xml:space="preserve">Title</w:t>
            </w:r>
          </w:p>
        </w:tc>
        <w:tc>
          <w:tcPr>
            <w:shd w:fill="004898" w:val="clear"/>
            <w:tcMar>
              <w:top w:type="dxa" w:w="60"/>
              <w:left w:type="dxa" w:w="80"/>
              <w:bottom w:type="dxa" w:w="60"/>
              <w:right w:type="dxa" w:w="80"/>
            </w:tcMar>
          </w:tcPr>
          <w:p>
            <w:r>
              <w:rPr>
                <w:b/>
                <w:bCs/>
                <w:color w:val="FFFFFF"/>
                <w:sz w:val="20"/>
                <w:szCs w:val="20"/>
              </w:rPr>
              <w:t xml:space="preserve">Ownership</w:t>
            </w:r>
          </w:p>
        </w:tc>
      </w:tr>
      <w:tr>
        <w:tc>
          <w:tcPr>
            <w:tcMar>
              <w:top w:type="dxa" w:w="50"/>
              <w:left w:type="dxa" w:w="80"/>
              <w:bottom w:type="dxa" w:w="50"/>
              <w:right w:type="dxa" w:w="80"/>
            </w:tcMar>
          </w:tcPr>
          <w:p>
            <w:r>
              <w:rPr>
                <w:color w:val="1F2937"/>
                <w:sz w:val="19"/>
                <w:szCs w:val="19"/>
              </w:rPr>
              <w:t xml:space="preserve">5</w:t>
            </w:r>
          </w:p>
        </w:tc>
        <w:tc>
          <w:tcPr>
            <w:tcMar>
              <w:top w:type="dxa" w:w="50"/>
              <w:left w:type="dxa" w:w="80"/>
              <w:bottom w:type="dxa" w:w="50"/>
              <w:right w:type="dxa" w:w="80"/>
            </w:tcMar>
          </w:tcPr>
          <w:p>
            <w:r>
              <w:rPr>
                <w:color w:val="1F2937"/>
                <w:sz w:val="19"/>
                <w:szCs w:val="19"/>
              </w:rPr>
              <w:t xml:space="preserve">Solution Architecture and Design Principles</w:t>
            </w:r>
          </w:p>
        </w:tc>
        <w:tc>
          <w:tcPr>
            <w:tcMar>
              <w:top w:type="dxa" w:w="50"/>
              <w:left w:type="dxa" w:w="80"/>
              <w:bottom w:type="dxa" w:w="50"/>
              <w:right w:type="dxa" w:w="80"/>
            </w:tcMar>
          </w:tcPr>
          <w:p>
            <w:r>
              <w:rPr>
                <w:color w:val="1F2937"/>
                <w:sz w:val="19"/>
                <w:szCs w:val="19"/>
              </w:rPr>
              <w:t xml:space="preserve">Owned by Thabiso</w:t>
            </w:r>
          </w:p>
        </w:tc>
      </w:tr>
      <w:tr>
        <w:tc>
          <w:tcPr>
            <w:shd w:fill="F3F4F6" w:val="clear"/>
            <w:tcMar>
              <w:top w:type="dxa" w:w="50"/>
              <w:left w:type="dxa" w:w="80"/>
              <w:bottom w:type="dxa" w:w="50"/>
              <w:right w:type="dxa" w:w="80"/>
            </w:tcMar>
          </w:tcPr>
          <w:p>
            <w:r>
              <w:rPr>
                <w:color w:val="1F2937"/>
                <w:sz w:val="19"/>
                <w:szCs w:val="19"/>
              </w:rPr>
              <w:t xml:space="preserve">6</w:t>
            </w:r>
          </w:p>
        </w:tc>
        <w:tc>
          <w:tcPr>
            <w:shd w:fill="F3F4F6" w:val="clear"/>
            <w:tcMar>
              <w:top w:type="dxa" w:w="50"/>
              <w:left w:type="dxa" w:w="80"/>
              <w:bottom w:type="dxa" w:w="50"/>
              <w:right w:type="dxa" w:w="80"/>
            </w:tcMar>
          </w:tcPr>
          <w:p>
            <w:r>
              <w:rPr>
                <w:color w:val="1F2937"/>
                <w:sz w:val="19"/>
                <w:szCs w:val="19"/>
              </w:rPr>
              <w:t xml:space="preserve">Delivery Methodology and Implementation Plan</w:t>
            </w:r>
          </w:p>
        </w:tc>
        <w:tc>
          <w:tcPr>
            <w:shd w:fill="F3F4F6" w:val="clear"/>
            <w:tcMar>
              <w:top w:type="dxa" w:w="50"/>
              <w:left w:type="dxa" w:w="80"/>
              <w:bottom w:type="dxa" w:w="50"/>
              <w:right w:type="dxa" w:w="80"/>
            </w:tcMar>
          </w:tcPr>
          <w:p>
            <w:r>
              <w:rPr>
                <w:color w:val="1F2937"/>
                <w:sz w:val="19"/>
                <w:szCs w:val="19"/>
              </w:rPr>
              <w:t xml:space="preserve">Owned by Thabiso</w:t>
            </w:r>
          </w:p>
        </w:tc>
      </w:tr>
      <w:tr>
        <w:tc>
          <w:tcPr>
            <w:tcMar>
              <w:top w:type="dxa" w:w="50"/>
              <w:left w:type="dxa" w:w="80"/>
              <w:bottom w:type="dxa" w:w="50"/>
              <w:right w:type="dxa" w:w="80"/>
            </w:tcMar>
          </w:tcPr>
          <w:p>
            <w:r>
              <w:rPr>
                <w:color w:val="1F2937"/>
                <w:sz w:val="19"/>
                <w:szCs w:val="19"/>
              </w:rPr>
              <w:t xml:space="preserve">7</w:t>
            </w:r>
          </w:p>
        </w:tc>
        <w:tc>
          <w:tcPr>
            <w:tcMar>
              <w:top w:type="dxa" w:w="50"/>
              <w:left w:type="dxa" w:w="80"/>
              <w:bottom w:type="dxa" w:w="50"/>
              <w:right w:type="dxa" w:w="80"/>
            </w:tcMar>
          </w:tcPr>
          <w:p>
            <w:r>
              <w:rPr>
                <w:color w:val="1F2937"/>
                <w:sz w:val="19"/>
                <w:szCs w:val="19"/>
              </w:rPr>
              <w:t xml:space="preserve">Programme Governance and Quality Management</w:t>
            </w:r>
          </w:p>
        </w:tc>
        <w:tc>
          <w:tcPr>
            <w:tcMar>
              <w:top w:type="dxa" w:w="50"/>
              <w:left w:type="dxa" w:w="80"/>
              <w:bottom w:type="dxa" w:w="50"/>
              <w:right w:type="dxa" w:w="80"/>
            </w:tcMar>
          </w:tcPr>
          <w:p>
            <w:r>
              <w:rPr>
                <w:color w:val="1F2937"/>
                <w:sz w:val="19"/>
                <w:szCs w:val="19"/>
              </w:rPr>
              <w:t xml:space="preserve">Owned by Thabiso</w:t>
            </w:r>
          </w:p>
        </w:tc>
      </w:tr>
      <w:tr>
        <w:tc>
          <w:tcPr>
            <w:shd w:fill="F3F4F6" w:val="clear"/>
            <w:tcMar>
              <w:top w:type="dxa" w:w="50"/>
              <w:left w:type="dxa" w:w="80"/>
              <w:bottom w:type="dxa" w:w="50"/>
              <w:right w:type="dxa" w:w="80"/>
            </w:tcMar>
          </w:tcPr>
          <w:p>
            <w:r>
              <w:rPr>
                <w:color w:val="1F2937"/>
                <w:sz w:val="19"/>
                <w:szCs w:val="19"/>
              </w:rPr>
              <w:t xml:space="preserve">17</w:t>
            </w:r>
          </w:p>
        </w:tc>
        <w:tc>
          <w:tcPr>
            <w:shd w:fill="F3F4F6" w:val="clear"/>
            <w:tcMar>
              <w:top w:type="dxa" w:w="50"/>
              <w:left w:type="dxa" w:w="80"/>
              <w:bottom w:type="dxa" w:w="50"/>
              <w:right w:type="dxa" w:w="80"/>
            </w:tcMar>
          </w:tcPr>
          <w:p>
            <w:r>
              <w:rPr>
                <w:color w:val="1F2937"/>
                <w:sz w:val="19"/>
                <w:szCs w:val="19"/>
              </w:rPr>
              <w:t xml:space="preserve">Commercial Proposal Framework / Pricing Schedule</w:t>
            </w:r>
          </w:p>
        </w:tc>
        <w:tc>
          <w:tcPr>
            <w:shd w:fill="F3F4F6" w:val="clear"/>
            <w:tcMar>
              <w:top w:type="dxa" w:w="50"/>
              <w:left w:type="dxa" w:w="80"/>
              <w:bottom w:type="dxa" w:w="50"/>
              <w:right w:type="dxa" w:w="80"/>
            </w:tcMar>
          </w:tcPr>
          <w:p>
            <w:r>
              <w:rPr>
                <w:color w:val="1F2937"/>
                <w:sz w:val="19"/>
                <w:szCs w:val="19"/>
              </w:rPr>
              <w:t xml:space="preserve">Shared — Tumelo / Thabiso</w:t>
            </w:r>
          </w:p>
        </w:tc>
      </w:tr>
    </w:tbl>
    <w:p>
      <w:pPr>
        <w:pStyle w:val="Heading1"/>
        <w:pageBreakBefore/>
        <w:spacing w:after="40" w:before="200"/>
      </w:pPr>
      <w:r>
        <w:rPr>
          <w:b/>
          <w:bCs/>
          <w:color w:val="004898"/>
          <w:sz w:val="30"/>
          <w:szCs w:val="30"/>
        </w:rPr>
        <w:t xml:space="preserve">5. Solution Architecture and Design Principles</w:t>
      </w:r>
    </w:p>
    <w:p>
      <w:pPr>
        <w:spacing w:after="160"/>
      </w:pPr>
      <w:r>
        <w:rPr>
          <w:b/>
          <w:bCs/>
          <w:i/>
          <w:iCs/>
          <w:color w:val="A39273"/>
          <w:sz w:val="20"/>
          <w:szCs w:val="20"/>
        </w:rPr>
        <w:t xml:space="preserve">Owned by Thabiso</w:t>
      </w:r>
    </w:p>
    <w:p>
      <w:pPr>
        <w:spacing w:after="140"/>
      </w:pPr>
      <w:r>
        <w:rPr>
          <w:color w:val="1F2937"/>
          <w:sz w:val="22"/>
          <w:szCs w:val="22"/>
        </w:rPr>
        <w:t xml:space="preserve">The target architecture will be confirmed during discovery, but T2 Technologies will apply the following principles unless the Client's standards require otherwise.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004898" w:val="clear"/>
            <w:tcMar>
              <w:top w:type="dxa" w:w="60"/>
              <w:left w:type="dxa" w:w="80"/>
              <w:bottom w:type="dxa" w:w="60"/>
              <w:right w:type="dxa" w:w="80"/>
            </w:tcMar>
          </w:tcPr>
          <w:p>
            <w:r>
              <w:rPr>
                <w:b/>
                <w:bCs/>
                <w:color w:val="FFFFFF"/>
                <w:sz w:val="20"/>
                <w:szCs w:val="20"/>
              </w:rPr>
              <w:t xml:space="preserve">Principle</w:t>
            </w:r>
          </w:p>
        </w:tc>
        <w:tc>
          <w:tcPr>
            <w:shd w:fill="004898" w:val="clear"/>
            <w:tcMar>
              <w:top w:type="dxa" w:w="60"/>
              <w:left w:type="dxa" w:w="80"/>
              <w:bottom w:type="dxa" w:w="60"/>
              <w:right w:type="dxa" w:w="80"/>
            </w:tcMar>
          </w:tcPr>
          <w:p>
            <w:r>
              <w:rPr>
                <w:b/>
                <w:bCs/>
                <w:color w:val="FFFFFF"/>
                <w:sz w:val="20"/>
                <w:szCs w:val="20"/>
              </w:rPr>
              <w:t xml:space="preserve">Application</w:t>
            </w:r>
          </w:p>
        </w:tc>
      </w:tr>
      <w:tr>
        <w:tc>
          <w:tcPr>
            <w:tcMar>
              <w:top w:type="dxa" w:w="50"/>
              <w:left w:type="dxa" w:w="80"/>
              <w:bottom w:type="dxa" w:w="50"/>
              <w:right w:type="dxa" w:w="80"/>
            </w:tcMar>
          </w:tcPr>
          <w:p>
            <w:r>
              <w:rPr>
                <w:color w:val="1F2937"/>
                <w:sz w:val="19"/>
                <w:szCs w:val="19"/>
              </w:rPr>
              <w:t xml:space="preserve">Modularity</w:t>
            </w:r>
          </w:p>
        </w:tc>
        <w:tc>
          <w:tcPr>
            <w:tcMar>
              <w:top w:type="dxa" w:w="50"/>
              <w:left w:type="dxa" w:w="80"/>
              <w:bottom w:type="dxa" w:w="50"/>
              <w:right w:type="dxa" w:w="80"/>
            </w:tcMar>
          </w:tcPr>
          <w:p>
            <w:r>
              <w:rPr>
                <w:color w:val="1F2937"/>
                <w:sz w:val="19"/>
                <w:szCs w:val="19"/>
              </w:rPr>
              <w:t xml:space="preserve">Separate business capabilities into clear modules and interfaces so that components can evolve independently.</w:t>
            </w:r>
          </w:p>
        </w:tc>
      </w:tr>
      <w:tr>
        <w:tc>
          <w:tcPr>
            <w:shd w:fill="F3F4F6" w:val="clear"/>
            <w:tcMar>
              <w:top w:type="dxa" w:w="50"/>
              <w:left w:type="dxa" w:w="80"/>
              <w:bottom w:type="dxa" w:w="50"/>
              <w:right w:type="dxa" w:w="80"/>
            </w:tcMar>
          </w:tcPr>
          <w:p>
            <w:r>
              <w:rPr>
                <w:color w:val="1F2937"/>
                <w:sz w:val="19"/>
                <w:szCs w:val="19"/>
              </w:rPr>
              <w:t xml:space="preserve">API First</w:t>
            </w:r>
          </w:p>
        </w:tc>
        <w:tc>
          <w:tcPr>
            <w:shd w:fill="F3F4F6" w:val="clear"/>
            <w:tcMar>
              <w:top w:type="dxa" w:w="50"/>
              <w:left w:type="dxa" w:w="80"/>
              <w:bottom w:type="dxa" w:w="50"/>
              <w:right w:type="dxa" w:w="80"/>
            </w:tcMar>
          </w:tcPr>
          <w:p>
            <w:r>
              <w:rPr>
                <w:color w:val="1F2937"/>
                <w:sz w:val="19"/>
                <w:szCs w:val="19"/>
              </w:rPr>
              <w:t xml:space="preserve">Expose controlled interfaces for system interaction instead of direct database coupling wherever practicable.</w:t>
            </w:r>
          </w:p>
        </w:tc>
      </w:tr>
      <w:tr>
        <w:tc>
          <w:tcPr>
            <w:tcMar>
              <w:top w:type="dxa" w:w="50"/>
              <w:left w:type="dxa" w:w="80"/>
              <w:bottom w:type="dxa" w:w="50"/>
              <w:right w:type="dxa" w:w="80"/>
            </w:tcMar>
          </w:tcPr>
          <w:p>
            <w:r>
              <w:rPr>
                <w:color w:val="1F2937"/>
                <w:sz w:val="19"/>
                <w:szCs w:val="19"/>
              </w:rPr>
              <w:t xml:space="preserve">Security by Design</w:t>
            </w:r>
          </w:p>
        </w:tc>
        <w:tc>
          <w:tcPr>
            <w:tcMar>
              <w:top w:type="dxa" w:w="50"/>
              <w:left w:type="dxa" w:w="80"/>
              <w:bottom w:type="dxa" w:w="50"/>
              <w:right w:type="dxa" w:w="80"/>
            </w:tcMar>
          </w:tcPr>
          <w:p>
            <w:r>
              <w:rPr>
                <w:color w:val="1F2937"/>
                <w:sz w:val="19"/>
                <w:szCs w:val="19"/>
              </w:rPr>
              <w:t xml:space="preserve">Apply identity, authorisation, encryption, secrets management, auditability and secure coding from the start.</w:t>
            </w:r>
          </w:p>
        </w:tc>
      </w:tr>
      <w:tr>
        <w:tc>
          <w:tcPr>
            <w:shd w:fill="F3F4F6" w:val="clear"/>
            <w:tcMar>
              <w:top w:type="dxa" w:w="50"/>
              <w:left w:type="dxa" w:w="80"/>
              <w:bottom w:type="dxa" w:w="50"/>
              <w:right w:type="dxa" w:w="80"/>
            </w:tcMar>
          </w:tcPr>
          <w:p>
            <w:r>
              <w:rPr>
                <w:color w:val="1F2937"/>
                <w:sz w:val="19"/>
                <w:szCs w:val="19"/>
              </w:rPr>
              <w:t xml:space="preserve">Traceability</w:t>
            </w:r>
          </w:p>
        </w:tc>
        <w:tc>
          <w:tcPr>
            <w:shd w:fill="F3F4F6" w:val="clear"/>
            <w:tcMar>
              <w:top w:type="dxa" w:w="50"/>
              <w:left w:type="dxa" w:w="80"/>
              <w:bottom w:type="dxa" w:w="50"/>
              <w:right w:type="dxa" w:w="80"/>
            </w:tcMar>
          </w:tcPr>
          <w:p>
            <w:r>
              <w:rPr>
                <w:color w:val="1F2937"/>
                <w:sz w:val="19"/>
                <w:szCs w:val="19"/>
              </w:rPr>
              <w:t xml:space="preserve">Use correlation identifiers and structured logs to trace transactions across service boundaries.</w:t>
            </w:r>
          </w:p>
        </w:tc>
      </w:tr>
      <w:tr>
        <w:tc>
          <w:tcPr>
            <w:tcMar>
              <w:top w:type="dxa" w:w="50"/>
              <w:left w:type="dxa" w:w="80"/>
              <w:bottom w:type="dxa" w:w="50"/>
              <w:right w:type="dxa" w:w="80"/>
            </w:tcMar>
          </w:tcPr>
          <w:p>
            <w:r>
              <w:rPr>
                <w:color w:val="1F2937"/>
                <w:sz w:val="19"/>
                <w:szCs w:val="19"/>
              </w:rPr>
              <w:t xml:space="preserve">Resilience</w:t>
            </w:r>
          </w:p>
        </w:tc>
        <w:tc>
          <w:tcPr>
            <w:tcMar>
              <w:top w:type="dxa" w:w="50"/>
              <w:left w:type="dxa" w:w="80"/>
              <w:bottom w:type="dxa" w:w="50"/>
              <w:right w:type="dxa" w:w="80"/>
            </w:tcMar>
          </w:tcPr>
          <w:p>
            <w:r>
              <w:rPr>
                <w:color w:val="1F2937"/>
                <w:sz w:val="19"/>
                <w:szCs w:val="19"/>
              </w:rPr>
              <w:t xml:space="preserve">Apply timeouts, retries where safe, circuit-breaking or isolation patterns, failure handling and recovery controls.</w:t>
            </w:r>
          </w:p>
        </w:tc>
      </w:tr>
      <w:tr>
        <w:tc>
          <w:tcPr>
            <w:shd w:fill="F3F4F6" w:val="clear"/>
            <w:tcMar>
              <w:top w:type="dxa" w:w="50"/>
              <w:left w:type="dxa" w:w="80"/>
              <w:bottom w:type="dxa" w:w="50"/>
              <w:right w:type="dxa" w:w="80"/>
            </w:tcMar>
          </w:tcPr>
          <w:p>
            <w:r>
              <w:rPr>
                <w:color w:val="1F2937"/>
                <w:sz w:val="19"/>
                <w:szCs w:val="19"/>
              </w:rPr>
              <w:t xml:space="preserve">Idempotency</w:t>
            </w:r>
          </w:p>
        </w:tc>
        <w:tc>
          <w:tcPr>
            <w:shd w:fill="F3F4F6" w:val="clear"/>
            <w:tcMar>
              <w:top w:type="dxa" w:w="50"/>
              <w:left w:type="dxa" w:w="80"/>
              <w:bottom w:type="dxa" w:w="50"/>
              <w:right w:type="dxa" w:w="80"/>
            </w:tcMar>
          </w:tcPr>
          <w:p>
            <w:r>
              <w:rPr>
                <w:color w:val="1F2937"/>
                <w:sz w:val="19"/>
                <w:szCs w:val="19"/>
              </w:rPr>
              <w:t xml:space="preserve">Protect critical write operations from accidental duplication when business or integration flows can be retried.</w:t>
            </w:r>
          </w:p>
        </w:tc>
      </w:tr>
      <w:tr>
        <w:tc>
          <w:tcPr>
            <w:tcMar>
              <w:top w:type="dxa" w:w="50"/>
              <w:left w:type="dxa" w:w="80"/>
              <w:bottom w:type="dxa" w:w="50"/>
              <w:right w:type="dxa" w:w="80"/>
            </w:tcMar>
          </w:tcPr>
          <w:p>
            <w:r>
              <w:rPr>
                <w:color w:val="1F2937"/>
                <w:sz w:val="19"/>
                <w:szCs w:val="19"/>
              </w:rPr>
              <w:t xml:space="preserve">Observability</w:t>
            </w:r>
          </w:p>
        </w:tc>
        <w:tc>
          <w:tcPr>
            <w:tcMar>
              <w:top w:type="dxa" w:w="50"/>
              <w:left w:type="dxa" w:w="80"/>
              <w:bottom w:type="dxa" w:w="50"/>
              <w:right w:type="dxa" w:w="80"/>
            </w:tcMar>
          </w:tcPr>
          <w:p>
            <w:r>
              <w:rPr>
                <w:color w:val="1F2937"/>
                <w:sz w:val="19"/>
                <w:szCs w:val="19"/>
              </w:rPr>
              <w:t xml:space="preserve">Capture metrics, logs and service health to support proactive operational management.</w:t>
            </w:r>
          </w:p>
        </w:tc>
      </w:tr>
      <w:tr>
        <w:tc>
          <w:tcPr>
            <w:shd w:fill="F3F4F6" w:val="clear"/>
            <w:tcMar>
              <w:top w:type="dxa" w:w="50"/>
              <w:left w:type="dxa" w:w="80"/>
              <w:bottom w:type="dxa" w:w="50"/>
              <w:right w:type="dxa" w:w="80"/>
            </w:tcMar>
          </w:tcPr>
          <w:p>
            <w:r>
              <w:rPr>
                <w:color w:val="1F2937"/>
                <w:sz w:val="19"/>
                <w:szCs w:val="19"/>
              </w:rPr>
              <w:t xml:space="preserve">Data Governance</w:t>
            </w:r>
          </w:p>
        </w:tc>
        <w:tc>
          <w:tcPr>
            <w:shd w:fill="F3F4F6" w:val="clear"/>
            <w:tcMar>
              <w:top w:type="dxa" w:w="50"/>
              <w:left w:type="dxa" w:w="80"/>
              <w:bottom w:type="dxa" w:w="50"/>
              <w:right w:type="dxa" w:w="80"/>
            </w:tcMar>
          </w:tcPr>
          <w:p>
            <w:r>
              <w:rPr>
                <w:color w:val="1F2937"/>
                <w:sz w:val="19"/>
                <w:szCs w:val="19"/>
              </w:rPr>
              <w:t xml:space="preserve">Define ownership, quality controls, retention, access and lineage for critical data.</w:t>
            </w:r>
          </w:p>
        </w:tc>
      </w:tr>
      <w:tr>
        <w:tc>
          <w:tcPr>
            <w:tcMar>
              <w:top w:type="dxa" w:w="50"/>
              <w:left w:type="dxa" w:w="80"/>
              <w:bottom w:type="dxa" w:w="50"/>
              <w:right w:type="dxa" w:w="80"/>
            </w:tcMar>
          </w:tcPr>
          <w:p>
            <w:r>
              <w:rPr>
                <w:color w:val="1F2937"/>
                <w:sz w:val="19"/>
                <w:szCs w:val="19"/>
              </w:rPr>
              <w:t xml:space="preserve">Automation</w:t>
            </w:r>
          </w:p>
        </w:tc>
        <w:tc>
          <w:tcPr>
            <w:tcMar>
              <w:top w:type="dxa" w:w="50"/>
              <w:left w:type="dxa" w:w="80"/>
              <w:bottom w:type="dxa" w:w="50"/>
              <w:right w:type="dxa" w:w="80"/>
            </w:tcMar>
          </w:tcPr>
          <w:p>
            <w:r>
              <w:rPr>
                <w:color w:val="1F2937"/>
                <w:sz w:val="19"/>
                <w:szCs w:val="19"/>
              </w:rPr>
              <w:t xml:space="preserve">Automate builds, tests, deployments and repeatable infrastructure tasks to reduce operational error.</w:t>
            </w:r>
          </w:p>
        </w:tc>
      </w:tr>
      <w:tr>
        <w:tc>
          <w:tcPr>
            <w:shd w:fill="F3F4F6" w:val="clear"/>
            <w:tcMar>
              <w:top w:type="dxa" w:w="50"/>
              <w:left w:type="dxa" w:w="80"/>
              <w:bottom w:type="dxa" w:w="50"/>
              <w:right w:type="dxa" w:w="80"/>
            </w:tcMar>
          </w:tcPr>
          <w:p>
            <w:r>
              <w:rPr>
                <w:color w:val="1F2937"/>
                <w:sz w:val="19"/>
                <w:szCs w:val="19"/>
              </w:rPr>
              <w:t xml:space="preserve">Portability</w:t>
            </w:r>
          </w:p>
        </w:tc>
        <w:tc>
          <w:tcPr>
            <w:shd w:fill="F3F4F6" w:val="clear"/>
            <w:tcMar>
              <w:top w:type="dxa" w:w="50"/>
              <w:left w:type="dxa" w:w="80"/>
              <w:bottom w:type="dxa" w:w="50"/>
              <w:right w:type="dxa" w:w="80"/>
            </w:tcMar>
          </w:tcPr>
          <w:p>
            <w:r>
              <w:rPr>
                <w:color w:val="1F2937"/>
                <w:sz w:val="19"/>
                <w:szCs w:val="19"/>
              </w:rPr>
              <w:t xml:space="preserve">Avoid unnecessary technology lock-in and preserve the ability to evolve the deployment model.</w:t>
            </w:r>
          </w:p>
        </w:tc>
      </w:tr>
    </w:tbl>
    <w:p>
      <w:pPr>
        <w:spacing w:after="80" w:before="160"/>
      </w:pPr>
      <w:r>
        <w:rPr>
          <w:b/>
          <w:bCs/>
          <w:color w:val="1F2937"/>
          <w:sz w:val="24"/>
          <w:szCs w:val="24"/>
        </w:rPr>
        <w:t xml:space="preserve">5.1 Illustrative Logical Architecture</w:t>
      </w:r>
    </w:p>
    <w:p>
      <w:pPr>
        <w:pStyle w:val="ListParagraph"/>
        <w:numPr>
          <w:ilvl w:val="0"/>
          <w:numId w:val="1"/>
        </w:numPr>
        <w:spacing w:after="60"/>
      </w:pPr>
      <w:r>
        <w:rPr>
          <w:color w:val="1F2937"/>
          <w:sz w:val="22"/>
          <w:szCs w:val="22"/>
        </w:rPr>
        <w:t xml:space="preserve">Experience Layer: web portals, mobile applications, administration interfaces and assisted-service channels.</w:t>
      </w:r>
    </w:p>
    <w:p>
      <w:pPr>
        <w:pStyle w:val="ListParagraph"/>
        <w:numPr>
          <w:ilvl w:val="0"/>
          <w:numId w:val="1"/>
        </w:numPr>
        <w:spacing w:after="60"/>
      </w:pPr>
      <w:r>
        <w:rPr>
          <w:color w:val="1F2937"/>
          <w:sz w:val="22"/>
          <w:szCs w:val="22"/>
        </w:rPr>
        <w:t xml:space="preserve">API / Integration Layer: authenticated APIs, routing, orchestration, validation, throttling, transaction controls and external connectors.</w:t>
      </w:r>
    </w:p>
    <w:p>
      <w:pPr>
        <w:pStyle w:val="ListParagraph"/>
        <w:numPr>
          <w:ilvl w:val="0"/>
          <w:numId w:val="1"/>
        </w:numPr>
        <w:spacing w:after="60"/>
      </w:pPr>
      <w:r>
        <w:rPr>
          <w:color w:val="1F2937"/>
          <w:sz w:val="22"/>
          <w:szCs w:val="22"/>
        </w:rPr>
        <w:t xml:space="preserve">Business Services Layer: domain-specific services, workflows and business rules.</w:t>
      </w:r>
    </w:p>
    <w:p>
      <w:pPr>
        <w:pStyle w:val="ListParagraph"/>
        <w:numPr>
          <w:ilvl w:val="0"/>
          <w:numId w:val="1"/>
        </w:numPr>
        <w:spacing w:after="60"/>
      </w:pPr>
      <w:r>
        <w:rPr>
          <w:color w:val="1F2937"/>
          <w:sz w:val="22"/>
          <w:szCs w:val="22"/>
        </w:rPr>
        <w:t xml:space="preserve">Data Layer: operational databases, integration stores, reporting data and controlled analytics pipelines.</w:t>
      </w:r>
    </w:p>
    <w:p>
      <w:pPr>
        <w:pStyle w:val="ListParagraph"/>
        <w:numPr>
          <w:ilvl w:val="0"/>
          <w:numId w:val="1"/>
        </w:numPr>
        <w:spacing w:after="60"/>
      </w:pPr>
      <w:r>
        <w:rPr>
          <w:color w:val="1F2937"/>
          <w:sz w:val="22"/>
          <w:szCs w:val="22"/>
        </w:rPr>
        <w:t xml:space="preserve">Platform Layer: runtime environments, containers/virtual infrastructure, network controls, secrets, backup and recovery.</w:t>
      </w:r>
    </w:p>
    <w:p>
      <w:pPr>
        <w:pStyle w:val="ListParagraph"/>
        <w:numPr>
          <w:ilvl w:val="0"/>
          <w:numId w:val="1"/>
        </w:numPr>
        <w:spacing w:after="60"/>
      </w:pPr>
      <w:r>
        <w:rPr>
          <w:color w:val="1F2937"/>
          <w:sz w:val="22"/>
          <w:szCs w:val="22"/>
        </w:rPr>
        <w:t xml:space="preserve">Operations Layer: CI/CD, monitoring, logging, alerting, vulnerability management, service management and audit reporting.</w:t>
      </w:r>
    </w:p>
    <w:p>
      <w:pPr>
        <w:spacing w:after="40" w:before="16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6B7280"/>
          <w:sz w:val="16"/>
          <w:szCs w:val="16"/>
        </w:rPr>
        <w:t xml:space="preserve">Figure 5.1 — Logical architecture</w:t>
      </w:r>
    </w:p>
    <w:p>
      <w:pPr>
        <w:spacing w:after="80" w:before="160"/>
      </w:pPr>
      <w:r>
        <w:rPr>
          <w:b/>
          <w:bCs/>
          <w:color w:val="1F2937"/>
          <w:sz w:val="24"/>
          <w:szCs w:val="24"/>
        </w:rPr>
        <w:t xml:space="preserve">5.2 Reference Deployment and Data Flow</w:t>
      </w:r>
    </w:p>
    <w:p>
      <w:pPr>
        <w:spacing w:after="120"/>
      </w:pPr>
      <w:r>
        <w:rPr>
          <w:color w:val="1F2937"/>
          <w:sz w:val="22"/>
          <w:szCs w:val="22"/>
        </w:rPr>
        <w:t xml:space="preserve">The module is designed for a resilient, cloud-ready deployment. Traffic is terminated at a managed edge, routed to stateless application services behind a private network boundary, and backed by managed data and integration stores. The data-flow view shows how metered readings move through import, validation and balancing into the decisions and actions the tool surfaces.</w:t>
      </w:r>
    </w:p>
    <w:p>
      <w:pPr>
        <w:spacing w:after="40" w:before="16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48075"/>
                    </a:xfrm>
                    <a:prstGeom prst="rect">
                      <a:avLst/>
                    </a:prstGeom>
                  </pic:spPr>
                </pic:pic>
              </a:graphicData>
            </a:graphic>
          </wp:inline>
        </w:drawing>
      </w:r>
    </w:p>
    <w:p>
      <w:pPr>
        <w:spacing w:after="200"/>
        <w:jc w:val="center"/>
      </w:pPr>
      <w:r>
        <w:rPr>
          <w:i/>
          <w:iCs/>
          <w:color w:val="6B7280"/>
          <w:sz w:val="16"/>
          <w:szCs w:val="16"/>
        </w:rPr>
        <w:t xml:space="preserve">Figure 5.2 — Deployment architecture</w:t>
      </w:r>
    </w:p>
    <w:p>
      <w:pPr>
        <w:spacing w:after="40" w:before="16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i/>
          <w:iCs/>
          <w:color w:val="6B7280"/>
          <w:sz w:val="16"/>
          <w:szCs w:val="16"/>
        </w:rPr>
        <w:t xml:space="preserve">Figure 5.3 — Data flow</w:t>
      </w:r>
    </w:p>
    <w:p>
      <w:pPr>
        <w:spacing w:after="80" w:before="160"/>
      </w:pPr>
      <w:r>
        <w:rPr>
          <w:b/>
          <w:bCs/>
          <w:color w:val="1F2937"/>
          <w:sz w:val="24"/>
          <w:szCs w:val="24"/>
        </w:rPr>
        <w:t xml:space="preserve">5.3 Application Configuration Workflows</w:t>
      </w:r>
    </w:p>
    <w:p>
      <w:pPr>
        <w:spacing w:after="120"/>
      </w:pPr>
      <w:r>
        <w:rPr>
          <w:color w:val="1F2937"/>
          <w:sz w:val="22"/>
          <w:szCs w:val="22"/>
        </w:rPr>
        <w:t xml:space="preserve">The following workflows explain how the tool is operated day to day — behaviour that cannot be conveyed by a static screen alone. Each workflow diagram is paired with a capture of the corresponding screen in the live FBM application.</w:t>
      </w:r>
    </w:p>
    <w:p>
      <w:pPr>
        <w:spacing w:after="120"/>
      </w:pPr>
      <w:r>
        <w:rPr>
          <w:color w:val="1F2937"/>
          <w:sz w:val="22"/>
          <w:szCs w:val="22"/>
        </w:rPr>
        <w:t xml:space="preserve">Configuring a network establishes the eight-level hierarchy (Operating Unit down to Meter); network mapping then lets an engineer re-parent equipment and group meters, transformers or feeders into clusters by drag-and-drop, with energy roll-ups recalculated automatically.</w:t>
      </w:r>
    </w:p>
    <w:p>
      <w:pPr>
        <w:spacing w:after="40" w:before="16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85900"/>
                    </a:xfrm>
                    <a:prstGeom prst="rect">
                      <a:avLst/>
                    </a:prstGeom>
                  </pic:spPr>
                </pic:pic>
              </a:graphicData>
            </a:graphic>
          </wp:inline>
        </w:drawing>
      </w:r>
    </w:p>
    <w:p>
      <w:pPr>
        <w:spacing w:after="200"/>
        <w:jc w:val="center"/>
      </w:pPr>
      <w:r>
        <w:rPr>
          <w:i/>
          <w:iCs/>
          <w:color w:val="6B7280"/>
          <w:sz w:val="16"/>
          <w:szCs w:val="16"/>
        </w:rPr>
        <w:t xml:space="preserve">Figure 5.4 — Network configuration workflow</w:t>
      </w:r>
    </w:p>
    <w:p>
      <w:pPr>
        <w:spacing w:after="40" w:before="16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6B7280"/>
          <w:sz w:val="16"/>
          <w:szCs w:val="16"/>
        </w:rPr>
        <w:t xml:space="preserve">Figure 5.7 — Configure Network (live tool): the eight-level hierarchy with automatic energy roll-up and loss KPIs computed at every level.</w:t>
      </w:r>
    </w:p>
    <w:p>
      <w:pPr>
        <w:spacing w:after="40" w:before="160"/>
        <w:jc w:val="center"/>
      </w:pPr>
      <w:r>
        <w:drawing>
          <wp:inline distT="0" distB="0" distL="0" distR="0">
            <wp:extent cx="5715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52575"/>
                    </a:xfrm>
                    <a:prstGeom prst="rect">
                      <a:avLst/>
                    </a:prstGeom>
                  </pic:spPr>
                </pic:pic>
              </a:graphicData>
            </a:graphic>
          </wp:inline>
        </w:drawing>
      </w:r>
    </w:p>
    <w:p>
      <w:pPr>
        <w:spacing w:after="200"/>
        <w:jc w:val="center"/>
      </w:pPr>
      <w:r>
        <w:rPr>
          <w:i/>
          <w:iCs/>
          <w:color w:val="6B7280"/>
          <w:sz w:val="16"/>
          <w:szCs w:val="16"/>
        </w:rPr>
        <w:t xml:space="preserve">Figure 5.5 — Network mapping workflow</w:t>
      </w:r>
    </w:p>
    <w:p>
      <w:pPr>
        <w:spacing w:after="40" w:before="16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6B7280"/>
          <w:sz w:val="16"/>
          <w:szCs w:val="16"/>
        </w:rPr>
        <w:t xml:space="preserve">Figure 5.8 — Network Mapping (live tool): drag-and-drop organisation chart for a selected substation.</w:t>
      </w:r>
    </w:p>
    <w:p>
      <w:pPr>
        <w:spacing w:after="40" w:before="16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i/>
          <w:iCs/>
          <w:color w:val="6B7280"/>
          <w:sz w:val="16"/>
          <w:szCs w:val="16"/>
        </w:rPr>
        <w:t xml:space="preserve">Figure 5.6 — Creating a meter cluster</w:t>
      </w:r>
    </w:p>
    <w:p>
      <w:pPr>
        <w:spacing w:after="40" w:before="16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spacing w:after="200"/>
        <w:jc w:val="center"/>
      </w:pPr>
      <w:r>
        <w:rPr>
          <w:i/>
          <w:iCs/>
          <w:color w:val="6B7280"/>
          <w:sz w:val="16"/>
          <w:szCs w:val="16"/>
        </w:rPr>
        <w:t xml:space="preserve">Figure 5.9 — Network Mapping (live tool): two meters grouped into a meter cluster, with one-click Ungroup to reverse the grouping.</w:t>
      </w:r>
    </w:p>
    <w:p>
      <w:pPr>
        <w:pStyle w:val="Heading1"/>
        <w:pageBreakBefore/>
        <w:spacing w:after="40" w:before="200"/>
      </w:pPr>
      <w:r>
        <w:rPr>
          <w:b/>
          <w:bCs/>
          <w:color w:val="004898"/>
          <w:sz w:val="30"/>
          <w:szCs w:val="30"/>
        </w:rPr>
        <w:t xml:space="preserve">6. Delivery Methodology and Implementation Plan</w:t>
      </w:r>
    </w:p>
    <w:p>
      <w:pPr>
        <w:spacing w:after="160"/>
      </w:pPr>
      <w:r>
        <w:rPr>
          <w:b/>
          <w:bCs/>
          <w:i/>
          <w:iCs/>
          <w:color w:val="A39273"/>
          <w:sz w:val="20"/>
          <w:szCs w:val="20"/>
        </w:rPr>
        <w:t xml:space="preserve">Owned by Thabiso</w:t>
      </w:r>
    </w:p>
    <w:p>
      <w:pPr>
        <w:spacing w:after="140"/>
      </w:pPr>
      <w:r>
        <w:rPr>
          <w:color w:val="1F2937"/>
          <w:sz w:val="22"/>
          <w:szCs w:val="22"/>
        </w:rPr>
        <w:t xml:space="preserve">T2 Technologies proposes a phased agile delivery model governed by formal stage gates. This balances iterative product development with the traceability and accountability expected in enterprise and public-sector programmes.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004898" w:val="clear"/>
            <w:tcMar>
              <w:top w:type="dxa" w:w="60"/>
              <w:left w:type="dxa" w:w="80"/>
              <w:bottom w:type="dxa" w:w="60"/>
              <w:right w:type="dxa" w:w="80"/>
            </w:tcMar>
          </w:tcPr>
          <w:p>
            <w:r>
              <w:rPr>
                <w:b/>
                <w:bCs/>
                <w:color w:val="FFFFFF"/>
                <w:sz w:val="20"/>
                <w:szCs w:val="20"/>
              </w:rPr>
              <w:t xml:space="preserve">Phase</w:t>
            </w:r>
          </w:p>
        </w:tc>
        <w:tc>
          <w:tcPr>
            <w:shd w:fill="004898" w:val="clear"/>
            <w:tcMar>
              <w:top w:type="dxa" w:w="60"/>
              <w:left w:type="dxa" w:w="80"/>
              <w:bottom w:type="dxa" w:w="60"/>
              <w:right w:type="dxa" w:w="80"/>
            </w:tcMar>
          </w:tcPr>
          <w:p>
            <w:r>
              <w:rPr>
                <w:b/>
                <w:bCs/>
                <w:color w:val="FFFFFF"/>
                <w:sz w:val="20"/>
                <w:szCs w:val="20"/>
              </w:rPr>
              <w:t xml:space="preserve">Indicative Timing</w:t>
            </w:r>
          </w:p>
        </w:tc>
        <w:tc>
          <w:tcPr>
            <w:shd w:fill="004898" w:val="clear"/>
            <w:tcMar>
              <w:top w:type="dxa" w:w="60"/>
              <w:left w:type="dxa" w:w="80"/>
              <w:bottom w:type="dxa" w:w="60"/>
              <w:right w:type="dxa" w:w="80"/>
            </w:tcMar>
          </w:tcPr>
          <w:p>
            <w:r>
              <w:rPr>
                <w:b/>
                <w:bCs/>
                <w:color w:val="FFFFFF"/>
                <w:sz w:val="20"/>
                <w:szCs w:val="20"/>
              </w:rPr>
              <w:t xml:space="preserve">Key Activities</w:t>
            </w:r>
          </w:p>
        </w:tc>
        <w:tc>
          <w:tcPr>
            <w:shd w:fill="004898" w:val="clear"/>
            <w:tcMar>
              <w:top w:type="dxa" w:w="60"/>
              <w:left w:type="dxa" w:w="80"/>
              <w:bottom w:type="dxa" w:w="60"/>
              <w:right w:type="dxa" w:w="80"/>
            </w:tcMar>
          </w:tcPr>
          <w:p>
            <w:r>
              <w:rPr>
                <w:b/>
                <w:bCs/>
                <w:color w:val="FFFFFF"/>
                <w:sz w:val="20"/>
                <w:szCs w:val="20"/>
              </w:rPr>
              <w:t xml:space="preserve">Exit Outcome</w:t>
            </w:r>
          </w:p>
        </w:tc>
      </w:tr>
      <w:tr>
        <w:tc>
          <w:tcPr>
            <w:tcMar>
              <w:top w:type="dxa" w:w="50"/>
              <w:left w:type="dxa" w:w="80"/>
              <w:bottom w:type="dxa" w:w="50"/>
              <w:right w:type="dxa" w:w="80"/>
            </w:tcMar>
          </w:tcPr>
          <w:p>
            <w:r>
              <w:rPr>
                <w:color w:val="1F2937"/>
                <w:sz w:val="19"/>
                <w:szCs w:val="19"/>
              </w:rPr>
              <w:t xml:space="preserve">Phase 0 - Mobilisation</w:t>
            </w:r>
          </w:p>
        </w:tc>
        <w:tc>
          <w:tcPr>
            <w:tcMar>
              <w:top w:type="dxa" w:w="50"/>
              <w:left w:type="dxa" w:w="80"/>
              <w:bottom w:type="dxa" w:w="50"/>
              <w:right w:type="dxa" w:w="80"/>
            </w:tcMar>
          </w:tcPr>
          <w:p>
            <w:r>
              <w:rPr>
                <w:color w:val="1F2937"/>
                <w:sz w:val="19"/>
                <w:szCs w:val="19"/>
              </w:rPr>
              <w:t xml:space="preserve">Weeks 1-2</w:t>
            </w:r>
          </w:p>
        </w:tc>
        <w:tc>
          <w:tcPr>
            <w:tcMar>
              <w:top w:type="dxa" w:w="50"/>
              <w:left w:type="dxa" w:w="80"/>
              <w:bottom w:type="dxa" w:w="50"/>
              <w:right w:type="dxa" w:w="80"/>
            </w:tcMar>
          </w:tcPr>
          <w:p>
            <w:r>
              <w:rPr>
                <w:color w:val="1F2937"/>
                <w:sz w:val="19"/>
                <w:szCs w:val="19"/>
              </w:rPr>
              <w:t xml:space="preserve">Contract mobilisation, governance, access, stakeholder map, delivery plan, risks, environments and document baseline.</w:t>
            </w:r>
          </w:p>
        </w:tc>
        <w:tc>
          <w:tcPr>
            <w:tcMar>
              <w:top w:type="dxa" w:w="50"/>
              <w:left w:type="dxa" w:w="80"/>
              <w:bottom w:type="dxa" w:w="50"/>
              <w:right w:type="dxa" w:w="80"/>
            </w:tcMar>
          </w:tcPr>
          <w:p>
            <w:r>
              <w:rPr>
                <w:color w:val="1F2937"/>
                <w:sz w:val="19"/>
                <w:szCs w:val="19"/>
              </w:rPr>
              <w:t xml:space="preserve">Approved mobilisation pack and detailed project plan.</w:t>
            </w:r>
          </w:p>
        </w:tc>
      </w:tr>
      <w:tr>
        <w:tc>
          <w:tcPr>
            <w:shd w:fill="F3F4F6" w:val="clear"/>
            <w:tcMar>
              <w:top w:type="dxa" w:w="50"/>
              <w:left w:type="dxa" w:w="80"/>
              <w:bottom w:type="dxa" w:w="50"/>
              <w:right w:type="dxa" w:w="80"/>
            </w:tcMar>
          </w:tcPr>
          <w:p>
            <w:r>
              <w:rPr>
                <w:color w:val="1F2937"/>
                <w:sz w:val="19"/>
                <w:szCs w:val="19"/>
              </w:rPr>
              <w:t xml:space="preserve">Phase 1 - Discovery &amp; Blueprint</w:t>
            </w:r>
          </w:p>
        </w:tc>
        <w:tc>
          <w:tcPr>
            <w:shd w:fill="F3F4F6" w:val="clear"/>
            <w:tcMar>
              <w:top w:type="dxa" w:w="50"/>
              <w:left w:type="dxa" w:w="80"/>
              <w:bottom w:type="dxa" w:w="50"/>
              <w:right w:type="dxa" w:w="80"/>
            </w:tcMar>
          </w:tcPr>
          <w:p>
            <w:r>
              <w:rPr>
                <w:color w:val="1F2937"/>
                <w:sz w:val="19"/>
                <w:szCs w:val="19"/>
              </w:rPr>
              <w:t xml:space="preserve">Weeks 2-6</w:t>
            </w:r>
          </w:p>
        </w:tc>
        <w:tc>
          <w:tcPr>
            <w:shd w:fill="F3F4F6" w:val="clear"/>
            <w:tcMar>
              <w:top w:type="dxa" w:w="50"/>
              <w:left w:type="dxa" w:w="80"/>
              <w:bottom w:type="dxa" w:w="50"/>
              <w:right w:type="dxa" w:w="80"/>
            </w:tcMar>
          </w:tcPr>
          <w:p>
            <w:r>
              <w:rPr>
                <w:color w:val="1F2937"/>
                <w:sz w:val="19"/>
                <w:szCs w:val="19"/>
              </w:rPr>
              <w:t xml:space="preserve">Current-state assessment, requirements, process mapping, architecture, security assessment and prioritisation.</w:t>
            </w:r>
          </w:p>
        </w:tc>
        <w:tc>
          <w:tcPr>
            <w:shd w:fill="F3F4F6" w:val="clear"/>
            <w:tcMar>
              <w:top w:type="dxa" w:w="50"/>
              <w:left w:type="dxa" w:w="80"/>
              <w:bottom w:type="dxa" w:w="50"/>
              <w:right w:type="dxa" w:w="80"/>
            </w:tcMar>
          </w:tcPr>
          <w:p>
            <w:r>
              <w:rPr>
                <w:color w:val="1F2937"/>
                <w:sz w:val="19"/>
                <w:szCs w:val="19"/>
              </w:rPr>
              <w:t xml:space="preserve">Requirements baseline, target architecture, backlog and migration approach.</w:t>
            </w:r>
          </w:p>
        </w:tc>
      </w:tr>
      <w:tr>
        <w:tc>
          <w:tcPr>
            <w:tcMar>
              <w:top w:type="dxa" w:w="50"/>
              <w:left w:type="dxa" w:w="80"/>
              <w:bottom w:type="dxa" w:w="50"/>
              <w:right w:type="dxa" w:w="80"/>
            </w:tcMar>
          </w:tcPr>
          <w:p>
            <w:r>
              <w:rPr>
                <w:color w:val="1F2937"/>
                <w:sz w:val="19"/>
                <w:szCs w:val="19"/>
              </w:rPr>
              <w:t xml:space="preserve">Phase 2 - Foundation</w:t>
            </w:r>
          </w:p>
        </w:tc>
        <w:tc>
          <w:tcPr>
            <w:tcMar>
              <w:top w:type="dxa" w:w="50"/>
              <w:left w:type="dxa" w:w="80"/>
              <w:bottom w:type="dxa" w:w="50"/>
              <w:right w:type="dxa" w:w="80"/>
            </w:tcMar>
          </w:tcPr>
          <w:p>
            <w:r>
              <w:rPr>
                <w:color w:val="1F2937"/>
                <w:sz w:val="19"/>
                <w:szCs w:val="19"/>
              </w:rPr>
              <w:t xml:space="preserve">Weeks 5-10</w:t>
            </w:r>
          </w:p>
        </w:tc>
        <w:tc>
          <w:tcPr>
            <w:tcMar>
              <w:top w:type="dxa" w:w="50"/>
              <w:left w:type="dxa" w:w="80"/>
              <w:bottom w:type="dxa" w:w="50"/>
              <w:right w:type="dxa" w:w="80"/>
            </w:tcMar>
          </w:tcPr>
          <w:p>
            <w:r>
              <w:rPr>
                <w:color w:val="1F2937"/>
                <w:sz w:val="19"/>
                <w:szCs w:val="19"/>
              </w:rPr>
              <w:t xml:space="preserve">Core platform, CI/CD, security baseline, integration foundation, environments and observability.</w:t>
            </w:r>
          </w:p>
        </w:tc>
        <w:tc>
          <w:tcPr>
            <w:tcMar>
              <w:top w:type="dxa" w:w="50"/>
              <w:left w:type="dxa" w:w="80"/>
              <w:bottom w:type="dxa" w:w="50"/>
              <w:right w:type="dxa" w:w="80"/>
            </w:tcMar>
          </w:tcPr>
          <w:p>
            <w:r>
              <w:rPr>
                <w:color w:val="1F2937"/>
                <w:sz w:val="19"/>
                <w:szCs w:val="19"/>
              </w:rPr>
              <w:t xml:space="preserve">Operational technical foundation ready for solution increments.</w:t>
            </w:r>
          </w:p>
        </w:tc>
      </w:tr>
      <w:tr>
        <w:tc>
          <w:tcPr>
            <w:shd w:fill="F3F4F6" w:val="clear"/>
            <w:tcMar>
              <w:top w:type="dxa" w:w="50"/>
              <w:left w:type="dxa" w:w="80"/>
              <w:bottom w:type="dxa" w:w="50"/>
              <w:right w:type="dxa" w:w="80"/>
            </w:tcMar>
          </w:tcPr>
          <w:p>
            <w:r>
              <w:rPr>
                <w:color w:val="1F2937"/>
                <w:sz w:val="19"/>
                <w:szCs w:val="19"/>
              </w:rPr>
              <w:t xml:space="preserve">Phase 3 - Incremental Build</w:t>
            </w:r>
          </w:p>
        </w:tc>
        <w:tc>
          <w:tcPr>
            <w:shd w:fill="F3F4F6" w:val="clear"/>
            <w:tcMar>
              <w:top w:type="dxa" w:w="50"/>
              <w:left w:type="dxa" w:w="80"/>
              <w:bottom w:type="dxa" w:w="50"/>
              <w:right w:type="dxa" w:w="80"/>
            </w:tcMar>
          </w:tcPr>
          <w:p>
            <w:r>
              <w:rPr>
                <w:color w:val="1F2937"/>
                <w:sz w:val="19"/>
                <w:szCs w:val="19"/>
              </w:rPr>
              <w:t xml:space="preserve">Weeks 8-20</w:t>
            </w:r>
          </w:p>
        </w:tc>
        <w:tc>
          <w:tcPr>
            <w:shd w:fill="F3F4F6" w:val="clear"/>
            <w:tcMar>
              <w:top w:type="dxa" w:w="50"/>
              <w:left w:type="dxa" w:w="80"/>
              <w:bottom w:type="dxa" w:w="50"/>
              <w:right w:type="dxa" w:w="80"/>
            </w:tcMar>
          </w:tcPr>
          <w:p>
            <w:r>
              <w:rPr>
                <w:color w:val="1F2937"/>
                <w:sz w:val="19"/>
                <w:szCs w:val="19"/>
              </w:rPr>
              <w:t xml:space="preserve">Applications, APIs, integrations, workflows, data pipelines and automated tests delivered in sprints.</w:t>
            </w:r>
          </w:p>
        </w:tc>
        <w:tc>
          <w:tcPr>
            <w:shd w:fill="F3F4F6" w:val="clear"/>
            <w:tcMar>
              <w:top w:type="dxa" w:w="50"/>
              <w:left w:type="dxa" w:w="80"/>
              <w:bottom w:type="dxa" w:w="50"/>
              <w:right w:type="dxa" w:w="80"/>
            </w:tcMar>
          </w:tcPr>
          <w:p>
            <w:r>
              <w:rPr>
                <w:color w:val="1F2937"/>
                <w:sz w:val="19"/>
                <w:szCs w:val="19"/>
              </w:rPr>
              <w:t xml:space="preserve">Demonstrable functional releases with traceability.</w:t>
            </w:r>
          </w:p>
        </w:tc>
      </w:tr>
      <w:tr>
        <w:tc>
          <w:tcPr>
            <w:tcMar>
              <w:top w:type="dxa" w:w="50"/>
              <w:left w:type="dxa" w:w="80"/>
              <w:bottom w:type="dxa" w:w="50"/>
              <w:right w:type="dxa" w:w="80"/>
            </w:tcMar>
          </w:tcPr>
          <w:p>
            <w:r>
              <w:rPr>
                <w:color w:val="1F2937"/>
                <w:sz w:val="19"/>
                <w:szCs w:val="19"/>
              </w:rPr>
              <w:t xml:space="preserve">Phase 4 - Integration, UAT &amp; Readiness</w:t>
            </w:r>
          </w:p>
        </w:tc>
        <w:tc>
          <w:tcPr>
            <w:tcMar>
              <w:top w:type="dxa" w:w="50"/>
              <w:left w:type="dxa" w:w="80"/>
              <w:bottom w:type="dxa" w:w="50"/>
              <w:right w:type="dxa" w:w="80"/>
            </w:tcMar>
          </w:tcPr>
          <w:p>
            <w:r>
              <w:rPr>
                <w:color w:val="1F2937"/>
                <w:sz w:val="19"/>
                <w:szCs w:val="19"/>
              </w:rPr>
              <w:t xml:space="preserve">Weeks 18-23</w:t>
            </w:r>
          </w:p>
        </w:tc>
        <w:tc>
          <w:tcPr>
            <w:tcMar>
              <w:top w:type="dxa" w:w="50"/>
              <w:left w:type="dxa" w:w="80"/>
              <w:bottom w:type="dxa" w:w="50"/>
              <w:right w:type="dxa" w:w="80"/>
            </w:tcMar>
          </w:tcPr>
          <w:p>
            <w:r>
              <w:rPr>
                <w:color w:val="1F2937"/>
                <w:sz w:val="19"/>
                <w:szCs w:val="19"/>
              </w:rPr>
              <w:t xml:space="preserve">End-to-end testing, performance/security testing, user acceptance, training, migration rehearsal and operational readiness.</w:t>
            </w:r>
          </w:p>
        </w:tc>
        <w:tc>
          <w:tcPr>
            <w:tcMar>
              <w:top w:type="dxa" w:w="50"/>
              <w:left w:type="dxa" w:w="80"/>
              <w:bottom w:type="dxa" w:w="50"/>
              <w:right w:type="dxa" w:w="80"/>
            </w:tcMar>
          </w:tcPr>
          <w:p>
            <w:r>
              <w:rPr>
                <w:color w:val="1F2937"/>
                <w:sz w:val="19"/>
                <w:szCs w:val="19"/>
              </w:rPr>
              <w:t xml:space="preserve">UAT sign-off and go-live readiness approval.</w:t>
            </w:r>
          </w:p>
        </w:tc>
      </w:tr>
      <w:tr>
        <w:tc>
          <w:tcPr>
            <w:shd w:fill="F3F4F6" w:val="clear"/>
            <w:tcMar>
              <w:top w:type="dxa" w:w="50"/>
              <w:left w:type="dxa" w:w="80"/>
              <w:bottom w:type="dxa" w:w="50"/>
              <w:right w:type="dxa" w:w="80"/>
            </w:tcMar>
          </w:tcPr>
          <w:p>
            <w:r>
              <w:rPr>
                <w:color w:val="1F2937"/>
                <w:sz w:val="19"/>
                <w:szCs w:val="19"/>
              </w:rPr>
              <w:t xml:space="preserve">Phase 5 - Go-Live &amp; Stabilisation</w:t>
            </w:r>
          </w:p>
        </w:tc>
        <w:tc>
          <w:tcPr>
            <w:shd w:fill="F3F4F6" w:val="clear"/>
            <w:tcMar>
              <w:top w:type="dxa" w:w="50"/>
              <w:left w:type="dxa" w:w="80"/>
              <w:bottom w:type="dxa" w:w="50"/>
              <w:right w:type="dxa" w:w="80"/>
            </w:tcMar>
          </w:tcPr>
          <w:p>
            <w:r>
              <w:rPr>
                <w:color w:val="1F2937"/>
                <w:sz w:val="19"/>
                <w:szCs w:val="19"/>
              </w:rPr>
              <w:t xml:space="preserve">Weeks 24+</w:t>
            </w:r>
          </w:p>
        </w:tc>
        <w:tc>
          <w:tcPr>
            <w:shd w:fill="F3F4F6" w:val="clear"/>
            <w:tcMar>
              <w:top w:type="dxa" w:w="50"/>
              <w:left w:type="dxa" w:w="80"/>
              <w:bottom w:type="dxa" w:w="50"/>
              <w:right w:type="dxa" w:w="80"/>
            </w:tcMar>
          </w:tcPr>
          <w:p>
            <w:r>
              <w:rPr>
                <w:color w:val="1F2937"/>
                <w:sz w:val="19"/>
                <w:szCs w:val="19"/>
              </w:rPr>
              <w:t xml:space="preserve">Production deployment, hypercare, defect resolution, monitoring, support transition and post-implementation review.</w:t>
            </w:r>
          </w:p>
        </w:tc>
        <w:tc>
          <w:tcPr>
            <w:shd w:fill="F3F4F6" w:val="clear"/>
            <w:tcMar>
              <w:top w:type="dxa" w:w="50"/>
              <w:left w:type="dxa" w:w="80"/>
              <w:bottom w:type="dxa" w:w="50"/>
              <w:right w:type="dxa" w:w="80"/>
            </w:tcMar>
          </w:tcPr>
          <w:p>
            <w:r>
              <w:rPr>
                <w:color w:val="1F2937"/>
                <w:sz w:val="19"/>
                <w:szCs w:val="19"/>
              </w:rPr>
              <w:t xml:space="preserve">Stable production service and transition to BAU support.</w:t>
            </w:r>
          </w:p>
        </w:tc>
      </w:tr>
    </w:tbl>
    <w:p>
      <w:pPr>
        <w:spacing w:after="140" w:before="140"/>
      </w:pPr>
      <w:r>
        <w:rPr>
          <w:i/>
          <w:iCs/>
          <w:color w:val="6B7280"/>
          <w:sz w:val="20"/>
          <w:szCs w:val="20"/>
        </w:rPr>
        <w:t xml:space="preserve">The above timeline is illustrative. The final schedule must be reconciled with the issued tender milestones, scope volume, data migration complexity, external dependencies, procurement lead times and Client resource availability.</w:t>
      </w:r>
    </w:p>
    <w:p>
      <w:pPr>
        <w:spacing w:after="40" w:before="16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6"/>
          <w:szCs w:val="16"/>
        </w:rPr>
        <w:t xml:space="preserve">Figure 6.1 — Delivery roadmap</w:t>
      </w:r>
    </w:p>
    <w:p>
      <w:pPr>
        <w:spacing w:after="40" w:before="160"/>
        <w:jc w:val="center"/>
      </w:pPr>
      <w:r>
        <w:drawing>
          <wp:inline distT="0" distB="0" distL="0" distR="0">
            <wp:extent cx="5715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i/>
          <w:iCs/>
          <w:color w:val="6B7280"/>
          <w:sz w:val="16"/>
          <w:szCs w:val="16"/>
        </w:rPr>
        <w:t xml:space="preserve">Figure 6.2 — Sprint cycle</w:t>
      </w:r>
    </w:p>
    <w:p>
      <w:pPr>
        <w:spacing w:after="80" w:before="160"/>
      </w:pPr>
      <w:r>
        <w:rPr>
          <w:b/>
          <w:bCs/>
          <w:color w:val="1F2937"/>
          <w:sz w:val="24"/>
          <w:szCs w:val="24"/>
        </w:rPr>
        <w:t xml:space="preserve">6.1 Sprint Delivery</w:t>
      </w:r>
    </w:p>
    <w:p>
      <w:pPr>
        <w:pStyle w:val="ListParagraph"/>
        <w:numPr>
          <w:ilvl w:val="0"/>
          <w:numId w:val="1"/>
        </w:numPr>
        <w:spacing w:after="60"/>
      </w:pPr>
      <w:r>
        <w:rPr>
          <w:color w:val="1F2937"/>
          <w:sz w:val="22"/>
          <w:szCs w:val="22"/>
        </w:rPr>
        <w:t xml:space="preserve">Prioritised product backlog linked to approved requirements.</w:t>
      </w:r>
    </w:p>
    <w:p>
      <w:pPr>
        <w:pStyle w:val="ListParagraph"/>
        <w:numPr>
          <w:ilvl w:val="0"/>
          <w:numId w:val="1"/>
        </w:numPr>
        <w:spacing w:after="60"/>
      </w:pPr>
      <w:r>
        <w:rPr>
          <w:color w:val="1F2937"/>
          <w:sz w:val="22"/>
          <w:szCs w:val="22"/>
        </w:rPr>
        <w:t xml:space="preserve">Regular planning, refinement, demonstrations and retrospectives.</w:t>
      </w:r>
    </w:p>
    <w:p>
      <w:pPr>
        <w:pStyle w:val="ListParagraph"/>
        <w:numPr>
          <w:ilvl w:val="0"/>
          <w:numId w:val="1"/>
        </w:numPr>
        <w:spacing w:after="60"/>
      </w:pPr>
      <w:r>
        <w:rPr>
          <w:color w:val="1F2937"/>
          <w:sz w:val="22"/>
          <w:szCs w:val="22"/>
        </w:rPr>
        <w:t xml:space="preserve">Definition of Done covering functional behaviour, testing, security, documentation and deployability.</w:t>
      </w:r>
    </w:p>
    <w:p>
      <w:pPr>
        <w:pStyle w:val="ListParagraph"/>
        <w:numPr>
          <w:ilvl w:val="0"/>
          <w:numId w:val="1"/>
        </w:numPr>
        <w:spacing w:after="60"/>
      </w:pPr>
      <w:r>
        <w:rPr>
          <w:color w:val="1F2937"/>
          <w:sz w:val="22"/>
          <w:szCs w:val="22"/>
        </w:rPr>
        <w:t xml:space="preserve">Formal change control for scope or contractual impacts outside the approved backlog baseline.</w:t>
      </w:r>
    </w:p>
    <w:p>
      <w:pPr>
        <w:pStyle w:val="ListParagraph"/>
        <w:numPr>
          <w:ilvl w:val="0"/>
          <w:numId w:val="1"/>
        </w:numPr>
        <w:spacing w:after="60"/>
      </w:pPr>
      <w:r>
        <w:rPr>
          <w:color w:val="1F2937"/>
          <w:sz w:val="22"/>
          <w:szCs w:val="22"/>
        </w:rPr>
        <w:t xml:space="preserve">Release notes and auditable evidence for each production release.</w:t>
      </w:r>
    </w:p>
    <w:p>
      <w:pPr>
        <w:pStyle w:val="Heading1"/>
        <w:pageBreakBefore/>
        <w:spacing w:after="40" w:before="200"/>
      </w:pPr>
      <w:r>
        <w:rPr>
          <w:b/>
          <w:bCs/>
          <w:color w:val="004898"/>
          <w:sz w:val="30"/>
          <w:szCs w:val="30"/>
        </w:rPr>
        <w:t xml:space="preserve">7. Programme Governance and Quality Management</w:t>
      </w:r>
    </w:p>
    <w:p>
      <w:pPr>
        <w:spacing w:after="160"/>
      </w:pPr>
      <w:r>
        <w:rPr>
          <w:b/>
          <w:bCs/>
          <w:i/>
          <w:iCs/>
          <w:color w:val="A39273"/>
          <w:sz w:val="20"/>
          <w:szCs w:val="20"/>
        </w:rPr>
        <w:t xml:space="preserve">Owned by Thabiso</w:t>
      </w:r>
    </w:p>
    <w:p>
      <w:pPr>
        <w:spacing w:after="140"/>
      </w:pPr>
      <w:r>
        <w:rPr>
          <w:color w:val="1F2937"/>
          <w:sz w:val="22"/>
          <w:szCs w:val="22"/>
        </w:rPr>
        <w:t xml:space="preserve">Governance will provide clear authority, reporting, escalation and evidence-based decision making. T2 Technologies recommends a joint structure that includes executive oversight, programme management and technical working groups.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004898" w:val="clear"/>
            <w:tcMar>
              <w:top w:type="dxa" w:w="60"/>
              <w:left w:type="dxa" w:w="80"/>
              <w:bottom w:type="dxa" w:w="60"/>
              <w:right w:type="dxa" w:w="80"/>
            </w:tcMar>
          </w:tcPr>
          <w:p>
            <w:r>
              <w:rPr>
                <w:b/>
                <w:bCs/>
                <w:color w:val="FFFFFF"/>
                <w:sz w:val="20"/>
                <w:szCs w:val="20"/>
              </w:rPr>
              <w:t xml:space="preserve">Forum</w:t>
            </w:r>
          </w:p>
        </w:tc>
        <w:tc>
          <w:tcPr>
            <w:shd w:fill="004898" w:val="clear"/>
            <w:tcMar>
              <w:top w:type="dxa" w:w="60"/>
              <w:left w:type="dxa" w:w="80"/>
              <w:bottom w:type="dxa" w:w="60"/>
              <w:right w:type="dxa" w:w="80"/>
            </w:tcMar>
          </w:tcPr>
          <w:p>
            <w:r>
              <w:rPr>
                <w:b/>
                <w:bCs/>
                <w:color w:val="FFFFFF"/>
                <w:sz w:val="20"/>
                <w:szCs w:val="20"/>
              </w:rPr>
              <w:t xml:space="preserve">Purpose</w:t>
            </w:r>
          </w:p>
        </w:tc>
        <w:tc>
          <w:tcPr>
            <w:shd w:fill="004898" w:val="clear"/>
            <w:tcMar>
              <w:top w:type="dxa" w:w="60"/>
              <w:left w:type="dxa" w:w="80"/>
              <w:bottom w:type="dxa" w:w="60"/>
              <w:right w:type="dxa" w:w="80"/>
            </w:tcMar>
          </w:tcPr>
          <w:p>
            <w:r>
              <w:rPr>
                <w:b/>
                <w:bCs/>
                <w:color w:val="FFFFFF"/>
                <w:sz w:val="20"/>
                <w:szCs w:val="20"/>
              </w:rPr>
              <w:t xml:space="preserve">Indicative Cadence</w:t>
            </w:r>
          </w:p>
        </w:tc>
      </w:tr>
      <w:tr>
        <w:tc>
          <w:tcPr>
            <w:tcMar>
              <w:top w:type="dxa" w:w="50"/>
              <w:left w:type="dxa" w:w="80"/>
              <w:bottom w:type="dxa" w:w="50"/>
              <w:right w:type="dxa" w:w="80"/>
            </w:tcMar>
          </w:tcPr>
          <w:p>
            <w:r>
              <w:rPr>
                <w:color w:val="1F2937"/>
                <w:sz w:val="19"/>
                <w:szCs w:val="19"/>
              </w:rPr>
              <w:t xml:space="preserve">Steering Committee</w:t>
            </w:r>
          </w:p>
        </w:tc>
        <w:tc>
          <w:tcPr>
            <w:tcMar>
              <w:top w:type="dxa" w:w="50"/>
              <w:left w:type="dxa" w:w="80"/>
              <w:bottom w:type="dxa" w:w="50"/>
              <w:right w:type="dxa" w:w="80"/>
            </w:tcMar>
          </w:tcPr>
          <w:p>
            <w:r>
              <w:rPr>
                <w:color w:val="1F2937"/>
                <w:sz w:val="19"/>
                <w:szCs w:val="19"/>
              </w:rPr>
              <w:t xml:space="preserve">Executive decisions, scope/budget oversight, strategic risks, escalations and milestone approval.</w:t>
            </w:r>
          </w:p>
        </w:tc>
        <w:tc>
          <w:tcPr>
            <w:tcMar>
              <w:top w:type="dxa" w:w="50"/>
              <w:left w:type="dxa" w:w="80"/>
              <w:bottom w:type="dxa" w:w="50"/>
              <w:right w:type="dxa" w:w="80"/>
            </w:tcMar>
          </w:tcPr>
          <w:p>
            <w:r>
              <w:rPr>
                <w:color w:val="1F2937"/>
                <w:sz w:val="19"/>
                <w:szCs w:val="19"/>
              </w:rPr>
              <w:t xml:space="preserve">Monthly or as prescribed</w:t>
            </w:r>
          </w:p>
        </w:tc>
      </w:tr>
      <w:tr>
        <w:tc>
          <w:tcPr>
            <w:shd w:fill="F3F4F6" w:val="clear"/>
            <w:tcMar>
              <w:top w:type="dxa" w:w="50"/>
              <w:left w:type="dxa" w:w="80"/>
              <w:bottom w:type="dxa" w:w="50"/>
              <w:right w:type="dxa" w:w="80"/>
            </w:tcMar>
          </w:tcPr>
          <w:p>
            <w:r>
              <w:rPr>
                <w:color w:val="1F2937"/>
                <w:sz w:val="19"/>
                <w:szCs w:val="19"/>
              </w:rPr>
              <w:t xml:space="preserve">Programme Review</w:t>
            </w:r>
          </w:p>
        </w:tc>
        <w:tc>
          <w:tcPr>
            <w:shd w:fill="F3F4F6" w:val="clear"/>
            <w:tcMar>
              <w:top w:type="dxa" w:w="50"/>
              <w:left w:type="dxa" w:w="80"/>
              <w:bottom w:type="dxa" w:w="50"/>
              <w:right w:type="dxa" w:w="80"/>
            </w:tcMar>
          </w:tcPr>
          <w:p>
            <w:r>
              <w:rPr>
                <w:color w:val="1F2937"/>
                <w:sz w:val="19"/>
                <w:szCs w:val="19"/>
              </w:rPr>
              <w:t xml:space="preserve">Progress, dependencies, RAID log, commercial status, upcoming milestones and actions.</w:t>
            </w:r>
          </w:p>
        </w:tc>
        <w:tc>
          <w:tcPr>
            <w:shd w:fill="F3F4F6" w:val="clear"/>
            <w:tcMar>
              <w:top w:type="dxa" w:w="50"/>
              <w:left w:type="dxa" w:w="80"/>
              <w:bottom w:type="dxa" w:w="50"/>
              <w:right w:type="dxa" w:w="80"/>
            </w:tcMar>
          </w:tcPr>
          <w:p>
            <w:r>
              <w:rPr>
                <w:color w:val="1F2937"/>
                <w:sz w:val="19"/>
                <w:szCs w:val="19"/>
              </w:rPr>
              <w:t xml:space="preserve">Weekly</w:t>
            </w:r>
          </w:p>
        </w:tc>
      </w:tr>
      <w:tr>
        <w:tc>
          <w:tcPr>
            <w:tcMar>
              <w:top w:type="dxa" w:w="50"/>
              <w:left w:type="dxa" w:w="80"/>
              <w:bottom w:type="dxa" w:w="50"/>
              <w:right w:type="dxa" w:w="80"/>
            </w:tcMar>
          </w:tcPr>
          <w:p>
            <w:r>
              <w:rPr>
                <w:color w:val="1F2937"/>
                <w:sz w:val="19"/>
                <w:szCs w:val="19"/>
              </w:rPr>
              <w:t xml:space="preserve">Architecture / Security Review</w:t>
            </w:r>
          </w:p>
        </w:tc>
        <w:tc>
          <w:tcPr>
            <w:tcMar>
              <w:top w:type="dxa" w:w="50"/>
              <w:left w:type="dxa" w:w="80"/>
              <w:bottom w:type="dxa" w:w="50"/>
              <w:right w:type="dxa" w:w="80"/>
            </w:tcMar>
          </w:tcPr>
          <w:p>
            <w:r>
              <w:rPr>
                <w:color w:val="1F2937"/>
                <w:sz w:val="19"/>
                <w:szCs w:val="19"/>
              </w:rPr>
              <w:t xml:space="preserve">Design decisions, integration standards, security controls, technical debt and exceptions.</w:t>
            </w:r>
          </w:p>
        </w:tc>
        <w:tc>
          <w:tcPr>
            <w:tcMar>
              <w:top w:type="dxa" w:w="50"/>
              <w:left w:type="dxa" w:w="80"/>
              <w:bottom w:type="dxa" w:w="50"/>
              <w:right w:type="dxa" w:w="80"/>
            </w:tcMar>
          </w:tcPr>
          <w:p>
            <w:r>
              <w:rPr>
                <w:color w:val="1F2937"/>
                <w:sz w:val="19"/>
                <w:szCs w:val="19"/>
              </w:rPr>
              <w:t xml:space="preserve">Weekly / per major design</w:t>
            </w:r>
          </w:p>
        </w:tc>
      </w:tr>
      <w:tr>
        <w:tc>
          <w:tcPr>
            <w:shd w:fill="F3F4F6" w:val="clear"/>
            <w:tcMar>
              <w:top w:type="dxa" w:w="50"/>
              <w:left w:type="dxa" w:w="80"/>
              <w:bottom w:type="dxa" w:w="50"/>
              <w:right w:type="dxa" w:w="80"/>
            </w:tcMar>
          </w:tcPr>
          <w:p>
            <w:r>
              <w:rPr>
                <w:color w:val="1F2937"/>
                <w:sz w:val="19"/>
                <w:szCs w:val="19"/>
              </w:rPr>
              <w:t xml:space="preserve">Sprint Ceremonies</w:t>
            </w:r>
          </w:p>
        </w:tc>
        <w:tc>
          <w:tcPr>
            <w:shd w:fill="F3F4F6" w:val="clear"/>
            <w:tcMar>
              <w:top w:type="dxa" w:w="50"/>
              <w:left w:type="dxa" w:w="80"/>
              <w:bottom w:type="dxa" w:w="50"/>
              <w:right w:type="dxa" w:w="80"/>
            </w:tcMar>
          </w:tcPr>
          <w:p>
            <w:r>
              <w:rPr>
                <w:color w:val="1F2937"/>
                <w:sz w:val="19"/>
                <w:szCs w:val="19"/>
              </w:rPr>
              <w:t xml:space="preserve">Planning, stand-ups, demonstrations, retrospectives and backlog refinement.</w:t>
            </w:r>
          </w:p>
        </w:tc>
        <w:tc>
          <w:tcPr>
            <w:shd w:fill="F3F4F6" w:val="clear"/>
            <w:tcMar>
              <w:top w:type="dxa" w:w="50"/>
              <w:left w:type="dxa" w:w="80"/>
              <w:bottom w:type="dxa" w:w="50"/>
              <w:right w:type="dxa" w:w="80"/>
            </w:tcMar>
          </w:tcPr>
          <w:p>
            <w:r>
              <w:rPr>
                <w:color w:val="1F2937"/>
                <w:sz w:val="19"/>
                <w:szCs w:val="19"/>
              </w:rPr>
              <w:t xml:space="preserve">Per sprint</w:t>
            </w:r>
          </w:p>
        </w:tc>
      </w:tr>
      <w:tr>
        <w:tc>
          <w:tcPr>
            <w:tcMar>
              <w:top w:type="dxa" w:w="50"/>
              <w:left w:type="dxa" w:w="80"/>
              <w:bottom w:type="dxa" w:w="50"/>
              <w:right w:type="dxa" w:w="80"/>
            </w:tcMar>
          </w:tcPr>
          <w:p>
            <w:r>
              <w:rPr>
                <w:color w:val="1F2937"/>
                <w:sz w:val="19"/>
                <w:szCs w:val="19"/>
              </w:rPr>
              <w:t xml:space="preserve">Service Review</w:t>
            </w:r>
          </w:p>
        </w:tc>
        <w:tc>
          <w:tcPr>
            <w:tcMar>
              <w:top w:type="dxa" w:w="50"/>
              <w:left w:type="dxa" w:w="80"/>
              <w:bottom w:type="dxa" w:w="50"/>
              <w:right w:type="dxa" w:w="80"/>
            </w:tcMar>
          </w:tcPr>
          <w:p>
            <w:r>
              <w:rPr>
                <w:color w:val="1F2937"/>
                <w:sz w:val="19"/>
                <w:szCs w:val="19"/>
              </w:rPr>
              <w:t xml:space="preserve">SLA performance, incidents, problems, capacity, releases and continuous improvement.</w:t>
            </w:r>
          </w:p>
        </w:tc>
        <w:tc>
          <w:tcPr>
            <w:tcMar>
              <w:top w:type="dxa" w:w="50"/>
              <w:left w:type="dxa" w:w="80"/>
              <w:bottom w:type="dxa" w:w="50"/>
              <w:right w:type="dxa" w:w="80"/>
            </w:tcMar>
          </w:tcPr>
          <w:p>
            <w:r>
              <w:rPr>
                <w:color w:val="1F2937"/>
                <w:sz w:val="19"/>
                <w:szCs w:val="19"/>
              </w:rPr>
              <w:t xml:space="preserve">Monthly post go-live</w:t>
            </w:r>
          </w:p>
        </w:tc>
      </w:tr>
    </w:tbl>
    <w:p>
      <w:pPr>
        <w:spacing w:after="40" w:before="16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6B7280"/>
          <w:sz w:val="16"/>
          <w:szCs w:val="16"/>
        </w:rPr>
        <w:t xml:space="preserve">Figure 7.1 — Governance structure</w:t>
      </w:r>
    </w:p>
    <w:p>
      <w:pPr>
        <w:spacing w:after="80" w:before="160"/>
      </w:pPr>
      <w:r>
        <w:rPr>
          <w:b/>
          <w:bCs/>
          <w:color w:val="1F2937"/>
          <w:sz w:val="24"/>
          <w:szCs w:val="24"/>
        </w:rPr>
        <w:t xml:space="preserve">7.1 Quality Controls</w:t>
      </w:r>
    </w:p>
    <w:p>
      <w:pPr>
        <w:pStyle w:val="ListParagraph"/>
        <w:numPr>
          <w:ilvl w:val="0"/>
          <w:numId w:val="1"/>
        </w:numPr>
        <w:spacing w:after="60"/>
      </w:pPr>
      <w:r>
        <w:rPr>
          <w:color w:val="1F2937"/>
          <w:sz w:val="22"/>
          <w:szCs w:val="22"/>
        </w:rPr>
        <w:t xml:space="preserve">Requirements-to-test traceability.</w:t>
      </w:r>
    </w:p>
    <w:p>
      <w:pPr>
        <w:pStyle w:val="ListParagraph"/>
        <w:numPr>
          <w:ilvl w:val="0"/>
          <w:numId w:val="1"/>
        </w:numPr>
        <w:spacing w:after="60"/>
      </w:pPr>
      <w:r>
        <w:rPr>
          <w:color w:val="1F2937"/>
          <w:sz w:val="22"/>
          <w:szCs w:val="22"/>
        </w:rPr>
        <w:t xml:space="preserve">Peer review and controlled source-code management.</w:t>
      </w:r>
    </w:p>
    <w:p>
      <w:pPr>
        <w:pStyle w:val="ListParagraph"/>
        <w:numPr>
          <w:ilvl w:val="0"/>
          <w:numId w:val="1"/>
        </w:numPr>
        <w:spacing w:after="60"/>
      </w:pPr>
      <w:r>
        <w:rPr>
          <w:color w:val="1F2937"/>
          <w:sz w:val="22"/>
          <w:szCs w:val="22"/>
        </w:rPr>
        <w:t xml:space="preserve">Automated unit/integration testing wherever practical.</w:t>
      </w:r>
    </w:p>
    <w:p>
      <w:pPr>
        <w:pStyle w:val="ListParagraph"/>
        <w:numPr>
          <w:ilvl w:val="0"/>
          <w:numId w:val="1"/>
        </w:numPr>
        <w:spacing w:after="60"/>
      </w:pPr>
      <w:r>
        <w:rPr>
          <w:color w:val="1F2937"/>
          <w:sz w:val="22"/>
          <w:szCs w:val="22"/>
        </w:rPr>
        <w:t xml:space="preserve">Security checks integrated into the development lifecycle.</w:t>
      </w:r>
    </w:p>
    <w:p>
      <w:pPr>
        <w:pStyle w:val="ListParagraph"/>
        <w:numPr>
          <w:ilvl w:val="0"/>
          <w:numId w:val="1"/>
        </w:numPr>
        <w:spacing w:after="60"/>
      </w:pPr>
      <w:r>
        <w:rPr>
          <w:color w:val="1F2937"/>
          <w:sz w:val="22"/>
          <w:szCs w:val="22"/>
        </w:rPr>
        <w:t xml:space="preserve">Controlled environments and release approvals.</w:t>
      </w:r>
    </w:p>
    <w:p>
      <w:pPr>
        <w:pStyle w:val="ListParagraph"/>
        <w:numPr>
          <w:ilvl w:val="0"/>
          <w:numId w:val="1"/>
        </w:numPr>
        <w:spacing w:after="60"/>
      </w:pPr>
      <w:r>
        <w:rPr>
          <w:color w:val="1F2937"/>
          <w:sz w:val="22"/>
          <w:szCs w:val="22"/>
        </w:rPr>
        <w:t xml:space="preserve">Document versioning and approval records.</w:t>
      </w:r>
    </w:p>
    <w:p>
      <w:pPr>
        <w:pStyle w:val="ListParagraph"/>
        <w:numPr>
          <w:ilvl w:val="0"/>
          <w:numId w:val="1"/>
        </w:numPr>
        <w:spacing w:after="60"/>
      </w:pPr>
      <w:r>
        <w:rPr>
          <w:color w:val="1F2937"/>
          <w:sz w:val="22"/>
          <w:szCs w:val="22"/>
        </w:rPr>
        <w:t xml:space="preserve">Defect prioritisation and transparent closure evidence.</w:t>
      </w:r>
    </w:p>
    <w:p>
      <w:pPr>
        <w:pStyle w:val="ListParagraph"/>
        <w:numPr>
          <w:ilvl w:val="0"/>
          <w:numId w:val="1"/>
        </w:numPr>
        <w:spacing w:after="60"/>
      </w:pPr>
      <w:r>
        <w:rPr>
          <w:color w:val="1F2937"/>
          <w:sz w:val="22"/>
          <w:szCs w:val="22"/>
        </w:rPr>
        <w:t xml:space="preserve">Post-release verification and service health monitoring.</w:t>
      </w:r>
    </w:p>
    <w:p>
      <w:pPr>
        <w:pStyle w:val="Heading1"/>
        <w:pageBreakBefore/>
        <w:spacing w:after="40" w:before="200"/>
      </w:pPr>
      <w:r>
        <w:rPr>
          <w:b/>
          <w:bCs/>
          <w:color w:val="004898"/>
          <w:sz w:val="30"/>
          <w:szCs w:val="30"/>
        </w:rPr>
        <w:t xml:space="preserve">17. Commercial Proposal Framework / Pricing Schedule</w:t>
      </w:r>
    </w:p>
    <w:p>
      <w:pPr>
        <w:spacing w:after="160"/>
      </w:pPr>
      <w:r>
        <w:rPr>
          <w:b/>
          <w:bCs/>
          <w:i/>
          <w:iCs/>
          <w:color w:val="A39273"/>
          <w:sz w:val="20"/>
          <w:szCs w:val="20"/>
        </w:rPr>
        <w:t xml:space="preserve">Shared — Tumelo / Thabiso</w:t>
      </w:r>
    </w:p>
    <w:p>
      <w:pPr>
        <w:spacing w:after="140"/>
      </w:pPr>
      <w:r>
        <w:rPr>
          <w:color w:val="1F2937"/>
          <w:sz w:val="22"/>
          <w:szCs w:val="22"/>
        </w:rPr>
        <w:t xml:space="preserve">Pricing must be completed strictly in the format prescribed by the tender. The following table can be used as an internal reconciliation schedule before values are transferred to the official pricing forms.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004898" w:val="clear"/>
            <w:tcMar>
              <w:top w:type="dxa" w:w="60"/>
              <w:left w:type="dxa" w:w="80"/>
              <w:bottom w:type="dxa" w:w="60"/>
              <w:right w:type="dxa" w:w="80"/>
            </w:tcMar>
          </w:tcPr>
          <w:p>
            <w:r>
              <w:rPr>
                <w:b/>
                <w:bCs/>
                <w:color w:val="FFFFFF"/>
                <w:sz w:val="20"/>
                <w:szCs w:val="20"/>
              </w:rPr>
              <w:t xml:space="preserve">Cost Component</w:t>
            </w:r>
          </w:p>
        </w:tc>
        <w:tc>
          <w:tcPr>
            <w:shd w:fill="004898" w:val="clear"/>
            <w:tcMar>
              <w:top w:type="dxa" w:w="60"/>
              <w:left w:type="dxa" w:w="80"/>
              <w:bottom w:type="dxa" w:w="60"/>
              <w:right w:type="dxa" w:w="80"/>
            </w:tcMar>
          </w:tcPr>
          <w:p>
            <w:r>
              <w:rPr>
                <w:b/>
                <w:bCs/>
                <w:color w:val="FFFFFF"/>
                <w:sz w:val="20"/>
                <w:szCs w:val="20"/>
              </w:rPr>
              <w:t xml:space="preserve">Pricing Basis</w:t>
            </w:r>
          </w:p>
        </w:tc>
        <w:tc>
          <w:tcPr>
            <w:shd w:fill="004898" w:val="clear"/>
            <w:tcMar>
              <w:top w:type="dxa" w:w="60"/>
              <w:left w:type="dxa" w:w="80"/>
              <w:bottom w:type="dxa" w:w="60"/>
              <w:right w:type="dxa" w:w="80"/>
            </w:tcMar>
          </w:tcPr>
          <w:p>
            <w:r>
              <w:rPr>
                <w:b/>
                <w:bCs/>
                <w:color w:val="FFFFFF"/>
                <w:sz w:val="20"/>
                <w:szCs w:val="20"/>
              </w:rPr>
              <w:t xml:space="preserve">Amount (Excl. VAT)</w:t>
            </w:r>
          </w:p>
        </w:tc>
        <w:tc>
          <w:tcPr>
            <w:shd w:fill="004898" w:val="clear"/>
            <w:tcMar>
              <w:top w:type="dxa" w:w="60"/>
              <w:left w:type="dxa" w:w="80"/>
              <w:bottom w:type="dxa" w:w="60"/>
              <w:right w:type="dxa" w:w="80"/>
            </w:tcMar>
          </w:tcPr>
          <w:p>
            <w:r>
              <w:rPr>
                <w:b/>
                <w:bCs/>
                <w:color w:val="FFFFFF"/>
                <w:sz w:val="20"/>
                <w:szCs w:val="20"/>
              </w:rPr>
              <w:t xml:space="preserve">Notes</w:t>
            </w:r>
          </w:p>
        </w:tc>
      </w:tr>
      <w:tr>
        <w:tc>
          <w:tcPr>
            <w:tcMar>
              <w:top w:type="dxa" w:w="50"/>
              <w:left w:type="dxa" w:w="80"/>
              <w:bottom w:type="dxa" w:w="50"/>
              <w:right w:type="dxa" w:w="80"/>
            </w:tcMar>
          </w:tcPr>
          <w:p>
            <w:r>
              <w:rPr>
                <w:color w:val="1F2937"/>
                <w:sz w:val="19"/>
                <w:szCs w:val="19"/>
              </w:rPr>
              <w:t xml:space="preserve">Mobilisation &amp; Discovery</w:t>
            </w:r>
          </w:p>
        </w:tc>
        <w:tc>
          <w:tcPr>
            <w:tcMar>
              <w:top w:type="dxa" w:w="50"/>
              <w:left w:type="dxa" w:w="80"/>
              <w:bottom w:type="dxa" w:w="50"/>
              <w:right w:type="dxa" w:w="80"/>
            </w:tcMar>
          </w:tcPr>
          <w:p>
            <w:r>
              <w:rPr>
                <w:color w:val="1F2937"/>
                <w:sz w:val="19"/>
                <w:szCs w:val="19"/>
              </w:rPr>
              <w:t xml:space="preserve">Fixed price / milestone</w:t>
            </w:r>
          </w:p>
        </w:tc>
        <w:tc>
          <w:tcPr>
            <w:tcMar>
              <w:top w:type="dxa" w:w="50"/>
              <w:left w:type="dxa" w:w="80"/>
              <w:bottom w:type="dxa" w:w="50"/>
              <w:right w:type="dxa" w:w="80"/>
            </w:tcMar>
          </w:tcPr>
          <w:p>
            <w:r>
              <w:rPr>
                <w:color w:val="1F2937"/>
                <w:sz w:val="19"/>
                <w:szCs w:val="19"/>
              </w:rPr>
              <w:t xml:space="preserve">R [INSERT]</w:t>
            </w:r>
          </w:p>
        </w:tc>
        <w:tc>
          <w:tcPr>
            <w:tcMar>
              <w:top w:type="dxa" w:w="50"/>
              <w:left w:type="dxa" w:w="80"/>
              <w:bottom w:type="dxa" w:w="50"/>
              <w:right w:type="dxa" w:w="80"/>
            </w:tcMar>
          </w:tcPr>
          <w:p>
            <w:r>
              <w:rPr>
                <w:color w:val="1F2937"/>
                <w:sz w:val="19"/>
                <w:szCs w:val="19"/>
              </w:rPr>
              <w:t xml:space="preserve"/>
            </w:r>
          </w:p>
        </w:tc>
      </w:tr>
      <w:tr>
        <w:tc>
          <w:tcPr>
            <w:shd w:fill="F3F4F6" w:val="clear"/>
            <w:tcMar>
              <w:top w:type="dxa" w:w="50"/>
              <w:left w:type="dxa" w:w="80"/>
              <w:bottom w:type="dxa" w:w="50"/>
              <w:right w:type="dxa" w:w="80"/>
            </w:tcMar>
          </w:tcPr>
          <w:p>
            <w:r>
              <w:rPr>
                <w:color w:val="1F2937"/>
                <w:sz w:val="19"/>
                <w:szCs w:val="19"/>
              </w:rPr>
              <w:t xml:space="preserve">Architecture &amp; Design</w:t>
            </w:r>
          </w:p>
        </w:tc>
        <w:tc>
          <w:tcPr>
            <w:shd w:fill="F3F4F6" w:val="clear"/>
            <w:tcMar>
              <w:top w:type="dxa" w:w="50"/>
              <w:left w:type="dxa" w:w="80"/>
              <w:bottom w:type="dxa" w:w="50"/>
              <w:right w:type="dxa" w:w="80"/>
            </w:tcMar>
          </w:tcPr>
          <w:p>
            <w:r>
              <w:rPr>
                <w:color w:val="1F2937"/>
                <w:sz w:val="19"/>
                <w:szCs w:val="19"/>
              </w:rPr>
              <w:t xml:space="preserve">Fixed price / milestone</w:t>
            </w:r>
          </w:p>
        </w:tc>
        <w:tc>
          <w:tcPr>
            <w:shd w:fill="F3F4F6" w:val="clear"/>
            <w:tcMar>
              <w:top w:type="dxa" w:w="50"/>
              <w:left w:type="dxa" w:w="80"/>
              <w:bottom w:type="dxa" w:w="50"/>
              <w:right w:type="dxa" w:w="80"/>
            </w:tcMar>
          </w:tcPr>
          <w:p>
            <w:r>
              <w:rPr>
                <w:color w:val="1F2937"/>
                <w:sz w:val="19"/>
                <w:szCs w:val="19"/>
              </w:rPr>
              <w:t xml:space="preserve">R [INSERT]</w:t>
            </w:r>
          </w:p>
        </w:tc>
        <w:tc>
          <w:tcPr>
            <w:shd w:fill="F3F4F6" w:val="clear"/>
            <w:tcMar>
              <w:top w:type="dxa" w:w="50"/>
              <w:left w:type="dxa" w:w="80"/>
              <w:bottom w:type="dxa" w:w="50"/>
              <w:right w:type="dxa" w:w="80"/>
            </w:tcMar>
          </w:tcPr>
          <w:p>
            <w:r>
              <w:rPr>
                <w:color w:val="1F2937"/>
                <w:sz w:val="19"/>
                <w:szCs w:val="19"/>
              </w:rPr>
              <w:t xml:space="preserve"/>
            </w:r>
          </w:p>
        </w:tc>
      </w:tr>
      <w:tr>
        <w:tc>
          <w:tcPr>
            <w:tcMar>
              <w:top w:type="dxa" w:w="50"/>
              <w:left w:type="dxa" w:w="80"/>
              <w:bottom w:type="dxa" w:w="50"/>
              <w:right w:type="dxa" w:w="80"/>
            </w:tcMar>
          </w:tcPr>
          <w:p>
            <w:r>
              <w:rPr>
                <w:color w:val="1F2937"/>
                <w:sz w:val="19"/>
                <w:szCs w:val="19"/>
              </w:rPr>
              <w:t xml:space="preserve">Application &amp; Integration Delivery</w:t>
            </w:r>
          </w:p>
        </w:tc>
        <w:tc>
          <w:tcPr>
            <w:tcMar>
              <w:top w:type="dxa" w:w="50"/>
              <w:left w:type="dxa" w:w="80"/>
              <w:bottom w:type="dxa" w:w="50"/>
              <w:right w:type="dxa" w:w="80"/>
            </w:tcMar>
          </w:tcPr>
          <w:p>
            <w:r>
              <w:rPr>
                <w:color w:val="1F2937"/>
                <w:sz w:val="19"/>
                <w:szCs w:val="19"/>
              </w:rPr>
              <w:t xml:space="preserve">Fixed / sprint / deliverable</w:t>
            </w:r>
          </w:p>
        </w:tc>
        <w:tc>
          <w:tcPr>
            <w:tcMar>
              <w:top w:type="dxa" w:w="50"/>
              <w:left w:type="dxa" w:w="80"/>
              <w:bottom w:type="dxa" w:w="50"/>
              <w:right w:type="dxa" w:w="80"/>
            </w:tcMar>
          </w:tcPr>
          <w:p>
            <w:r>
              <w:rPr>
                <w:color w:val="1F2937"/>
                <w:sz w:val="19"/>
                <w:szCs w:val="19"/>
              </w:rPr>
              <w:t xml:space="preserve">R [INSERT]</w:t>
            </w:r>
          </w:p>
        </w:tc>
        <w:tc>
          <w:tcPr>
            <w:tcMar>
              <w:top w:type="dxa" w:w="50"/>
              <w:left w:type="dxa" w:w="80"/>
              <w:bottom w:type="dxa" w:w="50"/>
              <w:right w:type="dxa" w:w="80"/>
            </w:tcMar>
          </w:tcPr>
          <w:p>
            <w:r>
              <w:rPr>
                <w:color w:val="1F2937"/>
                <w:sz w:val="19"/>
                <w:szCs w:val="19"/>
              </w:rPr>
              <w:t xml:space="preserve"/>
            </w:r>
          </w:p>
        </w:tc>
      </w:tr>
      <w:tr>
        <w:tc>
          <w:tcPr>
            <w:shd w:fill="F3F4F6" w:val="clear"/>
            <w:tcMar>
              <w:top w:type="dxa" w:w="50"/>
              <w:left w:type="dxa" w:w="80"/>
              <w:bottom w:type="dxa" w:w="50"/>
              <w:right w:type="dxa" w:w="80"/>
            </w:tcMar>
          </w:tcPr>
          <w:p>
            <w:r>
              <w:rPr>
                <w:color w:val="1F2937"/>
                <w:sz w:val="19"/>
                <w:szCs w:val="19"/>
              </w:rPr>
              <w:t xml:space="preserve">Data &amp; Migration</w:t>
            </w:r>
          </w:p>
        </w:tc>
        <w:tc>
          <w:tcPr>
            <w:shd w:fill="F3F4F6" w:val="clear"/>
            <w:tcMar>
              <w:top w:type="dxa" w:w="50"/>
              <w:left w:type="dxa" w:w="80"/>
              <w:bottom w:type="dxa" w:w="50"/>
              <w:right w:type="dxa" w:w="80"/>
            </w:tcMar>
          </w:tcPr>
          <w:p>
            <w:r>
              <w:rPr>
                <w:color w:val="1F2937"/>
                <w:sz w:val="19"/>
                <w:szCs w:val="19"/>
              </w:rPr>
              <w:t xml:space="preserve">Fixed / estimated volume</w:t>
            </w:r>
          </w:p>
        </w:tc>
        <w:tc>
          <w:tcPr>
            <w:shd w:fill="F3F4F6" w:val="clear"/>
            <w:tcMar>
              <w:top w:type="dxa" w:w="50"/>
              <w:left w:type="dxa" w:w="80"/>
              <w:bottom w:type="dxa" w:w="50"/>
              <w:right w:type="dxa" w:w="80"/>
            </w:tcMar>
          </w:tcPr>
          <w:p>
            <w:r>
              <w:rPr>
                <w:color w:val="1F2937"/>
                <w:sz w:val="19"/>
                <w:szCs w:val="19"/>
              </w:rPr>
              <w:t xml:space="preserve">R [INSERT]</w:t>
            </w:r>
          </w:p>
        </w:tc>
        <w:tc>
          <w:tcPr>
            <w:shd w:fill="F3F4F6" w:val="clear"/>
            <w:tcMar>
              <w:top w:type="dxa" w:w="50"/>
              <w:left w:type="dxa" w:w="80"/>
              <w:bottom w:type="dxa" w:w="50"/>
              <w:right w:type="dxa" w:w="80"/>
            </w:tcMar>
          </w:tcPr>
          <w:p>
            <w:r>
              <w:rPr>
                <w:color w:val="1F2937"/>
                <w:sz w:val="19"/>
                <w:szCs w:val="19"/>
              </w:rPr>
              <w:t xml:space="preserve"/>
            </w:r>
          </w:p>
        </w:tc>
      </w:tr>
      <w:tr>
        <w:tc>
          <w:tcPr>
            <w:tcMar>
              <w:top w:type="dxa" w:w="50"/>
              <w:left w:type="dxa" w:w="80"/>
              <w:bottom w:type="dxa" w:w="50"/>
              <w:right w:type="dxa" w:w="80"/>
            </w:tcMar>
          </w:tcPr>
          <w:p>
            <w:r>
              <w:rPr>
                <w:color w:val="1F2937"/>
                <w:sz w:val="19"/>
                <w:szCs w:val="19"/>
              </w:rPr>
              <w:t xml:space="preserve">Cloud / DevOps Setup</w:t>
            </w:r>
          </w:p>
        </w:tc>
        <w:tc>
          <w:tcPr>
            <w:tcMar>
              <w:top w:type="dxa" w:w="50"/>
              <w:left w:type="dxa" w:w="80"/>
              <w:bottom w:type="dxa" w:w="50"/>
              <w:right w:type="dxa" w:w="80"/>
            </w:tcMar>
          </w:tcPr>
          <w:p>
            <w:r>
              <w:rPr>
                <w:color w:val="1F2937"/>
                <w:sz w:val="19"/>
                <w:szCs w:val="19"/>
              </w:rPr>
              <w:t xml:space="preserve">Fixed price</w:t>
            </w:r>
          </w:p>
        </w:tc>
        <w:tc>
          <w:tcPr>
            <w:tcMar>
              <w:top w:type="dxa" w:w="50"/>
              <w:left w:type="dxa" w:w="80"/>
              <w:bottom w:type="dxa" w:w="50"/>
              <w:right w:type="dxa" w:w="80"/>
            </w:tcMar>
          </w:tcPr>
          <w:p>
            <w:r>
              <w:rPr>
                <w:color w:val="1F2937"/>
                <w:sz w:val="19"/>
                <w:szCs w:val="19"/>
              </w:rPr>
              <w:t xml:space="preserve">R [INSERT]</w:t>
            </w:r>
          </w:p>
        </w:tc>
        <w:tc>
          <w:tcPr>
            <w:tcMar>
              <w:top w:type="dxa" w:w="50"/>
              <w:left w:type="dxa" w:w="80"/>
              <w:bottom w:type="dxa" w:w="50"/>
              <w:right w:type="dxa" w:w="80"/>
            </w:tcMar>
          </w:tcPr>
          <w:p>
            <w:r>
              <w:rPr>
                <w:color w:val="1F2937"/>
                <w:sz w:val="19"/>
                <w:szCs w:val="19"/>
              </w:rPr>
              <w:t xml:space="preserve">Third-party cloud fees separate unless included</w:t>
            </w:r>
          </w:p>
        </w:tc>
      </w:tr>
      <w:tr>
        <w:tc>
          <w:tcPr>
            <w:shd w:fill="F3F4F6" w:val="clear"/>
            <w:tcMar>
              <w:top w:type="dxa" w:w="50"/>
              <w:left w:type="dxa" w:w="80"/>
              <w:bottom w:type="dxa" w:w="50"/>
              <w:right w:type="dxa" w:w="80"/>
            </w:tcMar>
          </w:tcPr>
          <w:p>
            <w:r>
              <w:rPr>
                <w:color w:val="1F2937"/>
                <w:sz w:val="19"/>
                <w:szCs w:val="19"/>
              </w:rPr>
              <w:t xml:space="preserve">Testing &amp; Go-Live</w:t>
            </w:r>
          </w:p>
        </w:tc>
        <w:tc>
          <w:tcPr>
            <w:shd w:fill="F3F4F6" w:val="clear"/>
            <w:tcMar>
              <w:top w:type="dxa" w:w="50"/>
              <w:left w:type="dxa" w:w="80"/>
              <w:bottom w:type="dxa" w:w="50"/>
              <w:right w:type="dxa" w:w="80"/>
            </w:tcMar>
          </w:tcPr>
          <w:p>
            <w:r>
              <w:rPr>
                <w:color w:val="1F2937"/>
                <w:sz w:val="19"/>
                <w:szCs w:val="19"/>
              </w:rPr>
              <w:t xml:space="preserve">Fixed price</w:t>
            </w:r>
          </w:p>
        </w:tc>
        <w:tc>
          <w:tcPr>
            <w:shd w:fill="F3F4F6" w:val="clear"/>
            <w:tcMar>
              <w:top w:type="dxa" w:w="50"/>
              <w:left w:type="dxa" w:w="80"/>
              <w:bottom w:type="dxa" w:w="50"/>
              <w:right w:type="dxa" w:w="80"/>
            </w:tcMar>
          </w:tcPr>
          <w:p>
            <w:r>
              <w:rPr>
                <w:color w:val="1F2937"/>
                <w:sz w:val="19"/>
                <w:szCs w:val="19"/>
              </w:rPr>
              <w:t xml:space="preserve">R [INSERT]</w:t>
            </w:r>
          </w:p>
        </w:tc>
        <w:tc>
          <w:tcPr>
            <w:shd w:fill="F3F4F6" w:val="clear"/>
            <w:tcMar>
              <w:top w:type="dxa" w:w="50"/>
              <w:left w:type="dxa" w:w="80"/>
              <w:bottom w:type="dxa" w:w="50"/>
              <w:right w:type="dxa" w:w="80"/>
            </w:tcMar>
          </w:tcPr>
          <w:p>
            <w:r>
              <w:rPr>
                <w:color w:val="1F2937"/>
                <w:sz w:val="19"/>
                <w:szCs w:val="19"/>
              </w:rPr>
              <w:t xml:space="preserve"/>
            </w:r>
          </w:p>
        </w:tc>
      </w:tr>
      <w:tr>
        <w:tc>
          <w:tcPr>
            <w:tcMar>
              <w:top w:type="dxa" w:w="50"/>
              <w:left w:type="dxa" w:w="80"/>
              <w:bottom w:type="dxa" w:w="50"/>
              <w:right w:type="dxa" w:w="80"/>
            </w:tcMar>
          </w:tcPr>
          <w:p>
            <w:r>
              <w:rPr>
                <w:color w:val="1F2937"/>
                <w:sz w:val="19"/>
                <w:szCs w:val="19"/>
              </w:rPr>
              <w:t xml:space="preserve">Training &amp; Knowledge Transfer</w:t>
            </w:r>
          </w:p>
        </w:tc>
        <w:tc>
          <w:tcPr>
            <w:tcMar>
              <w:top w:type="dxa" w:w="50"/>
              <w:left w:type="dxa" w:w="80"/>
              <w:bottom w:type="dxa" w:w="50"/>
              <w:right w:type="dxa" w:w="80"/>
            </w:tcMar>
          </w:tcPr>
          <w:p>
            <w:r>
              <w:rPr>
                <w:color w:val="1F2937"/>
                <w:sz w:val="19"/>
                <w:szCs w:val="19"/>
              </w:rPr>
              <w:t xml:space="preserve">Fixed price</w:t>
            </w:r>
          </w:p>
        </w:tc>
        <w:tc>
          <w:tcPr>
            <w:tcMar>
              <w:top w:type="dxa" w:w="50"/>
              <w:left w:type="dxa" w:w="80"/>
              <w:bottom w:type="dxa" w:w="50"/>
              <w:right w:type="dxa" w:w="80"/>
            </w:tcMar>
          </w:tcPr>
          <w:p>
            <w:r>
              <w:rPr>
                <w:color w:val="1F2937"/>
                <w:sz w:val="19"/>
                <w:szCs w:val="19"/>
              </w:rPr>
              <w:t xml:space="preserve">R [INSERT]</w:t>
            </w:r>
          </w:p>
        </w:tc>
        <w:tc>
          <w:tcPr>
            <w:tcMar>
              <w:top w:type="dxa" w:w="50"/>
              <w:left w:type="dxa" w:w="80"/>
              <w:bottom w:type="dxa" w:w="50"/>
              <w:right w:type="dxa" w:w="80"/>
            </w:tcMar>
          </w:tcPr>
          <w:p>
            <w:r>
              <w:rPr>
                <w:color w:val="1F2937"/>
                <w:sz w:val="19"/>
                <w:szCs w:val="19"/>
              </w:rPr>
              <w:t xml:space="preserve"/>
            </w:r>
          </w:p>
        </w:tc>
      </w:tr>
      <w:tr>
        <w:tc>
          <w:tcPr>
            <w:shd w:fill="F3F4F6" w:val="clear"/>
            <w:tcMar>
              <w:top w:type="dxa" w:w="50"/>
              <w:left w:type="dxa" w:w="80"/>
              <w:bottom w:type="dxa" w:w="50"/>
              <w:right w:type="dxa" w:w="80"/>
            </w:tcMar>
          </w:tcPr>
          <w:p>
            <w:r>
              <w:rPr>
                <w:color w:val="1F2937"/>
                <w:sz w:val="19"/>
                <w:szCs w:val="19"/>
              </w:rPr>
              <w:t xml:space="preserve">Support &amp; Maintenance</w:t>
            </w:r>
          </w:p>
        </w:tc>
        <w:tc>
          <w:tcPr>
            <w:shd w:fill="F3F4F6" w:val="clear"/>
            <w:tcMar>
              <w:top w:type="dxa" w:w="50"/>
              <w:left w:type="dxa" w:w="80"/>
              <w:bottom w:type="dxa" w:w="50"/>
              <w:right w:type="dxa" w:w="80"/>
            </w:tcMar>
          </w:tcPr>
          <w:p>
            <w:r>
              <w:rPr>
                <w:color w:val="1F2937"/>
                <w:sz w:val="19"/>
                <w:szCs w:val="19"/>
              </w:rPr>
              <w:t xml:space="preserve">Monthly / annual</w:t>
            </w:r>
          </w:p>
        </w:tc>
        <w:tc>
          <w:tcPr>
            <w:shd w:fill="F3F4F6" w:val="clear"/>
            <w:tcMar>
              <w:top w:type="dxa" w:w="50"/>
              <w:left w:type="dxa" w:w="80"/>
              <w:bottom w:type="dxa" w:w="50"/>
              <w:right w:type="dxa" w:w="80"/>
            </w:tcMar>
          </w:tcPr>
          <w:p>
            <w:r>
              <w:rPr>
                <w:color w:val="1F2937"/>
                <w:sz w:val="19"/>
                <w:szCs w:val="19"/>
              </w:rPr>
              <w:t xml:space="preserve">R [INSERT]</w:t>
            </w:r>
          </w:p>
        </w:tc>
        <w:tc>
          <w:tcPr>
            <w:shd w:fill="F3F4F6" w:val="clear"/>
            <w:tcMar>
              <w:top w:type="dxa" w:w="50"/>
              <w:left w:type="dxa" w:w="80"/>
              <w:bottom w:type="dxa" w:w="50"/>
              <w:right w:type="dxa" w:w="80"/>
            </w:tcMar>
          </w:tcPr>
          <w:p>
            <w:r>
              <w:rPr>
                <w:color w:val="1F2937"/>
                <w:sz w:val="19"/>
                <w:szCs w:val="19"/>
              </w:rPr>
              <w:t xml:space="preserve">State SLA and support window</w:t>
            </w:r>
          </w:p>
        </w:tc>
      </w:tr>
      <w:tr>
        <w:tc>
          <w:tcPr>
            <w:tcMar>
              <w:top w:type="dxa" w:w="50"/>
              <w:left w:type="dxa" w:w="80"/>
              <w:bottom w:type="dxa" w:w="50"/>
              <w:right w:type="dxa" w:w="80"/>
            </w:tcMar>
          </w:tcPr>
          <w:p>
            <w:r>
              <w:rPr>
                <w:color w:val="1F2937"/>
                <w:sz w:val="19"/>
                <w:szCs w:val="19"/>
              </w:rPr>
              <w:t xml:space="preserve">Third-Party Costs</w:t>
            </w:r>
          </w:p>
        </w:tc>
        <w:tc>
          <w:tcPr>
            <w:tcMar>
              <w:top w:type="dxa" w:w="50"/>
              <w:left w:type="dxa" w:w="80"/>
              <w:bottom w:type="dxa" w:w="50"/>
              <w:right w:type="dxa" w:w="80"/>
            </w:tcMar>
          </w:tcPr>
          <w:p>
            <w:r>
              <w:rPr>
                <w:color w:val="1F2937"/>
                <w:sz w:val="19"/>
                <w:szCs w:val="19"/>
              </w:rPr>
              <w:t xml:space="preserve">At cost / specified</w:t>
            </w:r>
          </w:p>
        </w:tc>
        <w:tc>
          <w:tcPr>
            <w:tcMar>
              <w:top w:type="dxa" w:w="50"/>
              <w:left w:type="dxa" w:w="80"/>
              <w:bottom w:type="dxa" w:w="50"/>
              <w:right w:type="dxa" w:w="80"/>
            </w:tcMar>
          </w:tcPr>
          <w:p>
            <w:r>
              <w:rPr>
                <w:color w:val="1F2937"/>
                <w:sz w:val="19"/>
                <w:szCs w:val="19"/>
              </w:rPr>
              <w:t xml:space="preserve">R [INSERT]</w:t>
            </w:r>
          </w:p>
        </w:tc>
        <w:tc>
          <w:tcPr>
            <w:tcMar>
              <w:top w:type="dxa" w:w="50"/>
              <w:left w:type="dxa" w:w="80"/>
              <w:bottom w:type="dxa" w:w="50"/>
              <w:right w:type="dxa" w:w="80"/>
            </w:tcMar>
          </w:tcPr>
          <w:p>
            <w:r>
              <w:rPr>
                <w:color w:val="1F2937"/>
                <w:sz w:val="19"/>
                <w:szCs w:val="19"/>
              </w:rPr>
              <w:t xml:space="preserve">List separately</w:t>
            </w:r>
          </w:p>
        </w:tc>
      </w:tr>
      <w:tr>
        <w:tc>
          <w:tcPr>
            <w:shd w:fill="F3F4F6" w:val="clear"/>
            <w:tcMar>
              <w:top w:type="dxa" w:w="50"/>
              <w:left w:type="dxa" w:w="80"/>
              <w:bottom w:type="dxa" w:w="50"/>
              <w:right w:type="dxa" w:w="80"/>
            </w:tcMar>
          </w:tcPr>
          <w:p>
            <w:r>
              <w:rPr>
                <w:color w:val="1F2937"/>
                <w:sz w:val="19"/>
                <w:szCs w:val="19"/>
              </w:rPr>
              <w:t xml:space="preserve">Total Tendered Price</w:t>
            </w:r>
          </w:p>
        </w:tc>
        <w:tc>
          <w:tcPr>
            <w:shd w:fill="F3F4F6" w:val="clear"/>
            <w:tcMar>
              <w:top w:type="dxa" w:w="50"/>
              <w:left w:type="dxa" w:w="80"/>
              <w:bottom w:type="dxa" w:w="50"/>
              <w:right w:type="dxa" w:w="80"/>
            </w:tcMar>
          </w:tcPr>
          <w:p>
            <w:r>
              <w:rPr>
                <w:color w:val="1F2937"/>
                <w:sz w:val="19"/>
                <w:szCs w:val="19"/>
              </w:rPr>
              <w:t xml:space="preserve">As prescribed</w:t>
            </w:r>
          </w:p>
        </w:tc>
        <w:tc>
          <w:tcPr>
            <w:shd w:fill="F3F4F6" w:val="clear"/>
            <w:tcMar>
              <w:top w:type="dxa" w:w="50"/>
              <w:left w:type="dxa" w:w="80"/>
              <w:bottom w:type="dxa" w:w="50"/>
              <w:right w:type="dxa" w:w="80"/>
            </w:tcMar>
          </w:tcPr>
          <w:p>
            <w:r>
              <w:rPr>
                <w:color w:val="1F2937"/>
                <w:sz w:val="19"/>
                <w:szCs w:val="19"/>
              </w:rPr>
              <w:t xml:space="preserve">R [INSERT]</w:t>
            </w:r>
          </w:p>
        </w:tc>
        <w:tc>
          <w:tcPr>
            <w:shd w:fill="F3F4F6" w:val="clear"/>
            <w:tcMar>
              <w:top w:type="dxa" w:w="50"/>
              <w:left w:type="dxa" w:w="80"/>
              <w:bottom w:type="dxa" w:w="50"/>
              <w:right w:type="dxa" w:w="80"/>
            </w:tcMar>
          </w:tcPr>
          <w:p>
            <w:r>
              <w:rPr>
                <w:color w:val="1F2937"/>
                <w:sz w:val="19"/>
                <w:szCs w:val="19"/>
              </w:rPr>
              <w:t xml:space="preserve">Reconcile to official tender schedule</w:t>
            </w:r>
          </w:p>
        </w:tc>
      </w:tr>
    </w:tbl>
    <w:p>
      <w:pPr>
        <w:spacing w:after="140" w:before="140"/>
      </w:pPr>
      <w:r>
        <w:rPr>
          <w:i/>
          <w:iCs/>
          <w:color w:val="6B7280"/>
          <w:sz w:val="20"/>
          <w:szCs w:val="20"/>
        </w:rPr>
        <w:t xml:space="preserve">Commercial validity, escalation, travel, disbursements, VAT, payment milestones, retention, performance guarantees and any exchange-rate assumptions must be completed exactly as required by the tender conditions.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a2371a8617c518477b4afee6dcca7421652779.png"/><Relationship Id="rId8" Type="http://schemas.openxmlformats.org/officeDocument/2006/relationships/image" Target="media/fff6fffecb0c220c3c80ccab5f633412b32ceb95.png"/><Relationship Id="rId9" Type="http://schemas.openxmlformats.org/officeDocument/2006/relationships/image" Target="media/3d24e2e30ba204d561c9569a3846fe2e6be00d2d.png"/><Relationship Id="rId10" Type="http://schemas.openxmlformats.org/officeDocument/2006/relationships/image" Target="media/0ba6113ed025a1646e59fc23f6578bdada7c8c46.png"/><Relationship Id="rId11" Type="http://schemas.openxmlformats.org/officeDocument/2006/relationships/image" Target="media/feace5a02ad4cd8574b2af4608bc941f00cfc599.png"/><Relationship Id="rId12" Type="http://schemas.openxmlformats.org/officeDocument/2006/relationships/image" Target="media/0596d841fe9d77545926a0cb851265f1c462c1d8.png"/><Relationship Id="rId13" Type="http://schemas.openxmlformats.org/officeDocument/2006/relationships/image" Target="media/462bbcf3386c77ccc10a66e3a52f8ca0d5987c63.png"/><Relationship Id="rId14" Type="http://schemas.openxmlformats.org/officeDocument/2006/relationships/image" Target="media/a7f070c40d7a33399e72aa51116a81e0e9dc7323.png"/><Relationship Id="rId15" Type="http://schemas.openxmlformats.org/officeDocument/2006/relationships/image" Target="media/d7b173ae2f170c2ff9732a217933dd3a6d35dc54.png"/><Relationship Id="rId16" Type="http://schemas.openxmlformats.org/officeDocument/2006/relationships/image" Target="media/cf59962a9c8bd5f4a27a1b3970d5d8002f923c04.png"/><Relationship Id="rId17" Type="http://schemas.openxmlformats.org/officeDocument/2006/relationships/image" Target="media/0b7505ea59b29d18f33cc4d97b5cd1efda33f919.png"/><Relationship Id="rId18" Type="http://schemas.openxmlformats.org/officeDocument/2006/relationships/image" Target="media/f49991385dfe7b4e523132f230a0a7718b9b708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FBM Tender — Thabiso Sections</dc:title>
  <dc:creator>T2 Technologies</dc:creator>
  <cp:lastModifiedBy>Un-named</cp:lastModifiedBy>
  <cp:revision>1</cp:revision>
  <dcterms:created xsi:type="dcterms:W3CDTF">2026-09-08T06:47:35.428Z</dcterms:created>
  <dcterms:modified xsi:type="dcterms:W3CDTF">2026-09-08T06:47:35.432Z</dcterms:modified>
</cp:coreProperties>
</file>

<file path=docProps/custom.xml><?xml version="1.0" encoding="utf-8"?>
<Properties xmlns="http://schemas.openxmlformats.org/officeDocument/2006/custom-properties" xmlns:vt="http://schemas.openxmlformats.org/officeDocument/2006/docPropsVTypes"/>
</file>