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8</w:t>
            </w:r>
          </w:p>
        </w:tc>
        <w:tc>
          <w:tcPr>
            <w:shd w:fill="F3F4F6" w:val="clear"/>
            <w:tcMar>
              <w:top w:type="dxa" w:w="50"/>
              <w:left w:type="dxa" w:w="80"/>
              <w:bottom w:type="dxa" w:w="50"/>
              <w:right w:type="dxa" w:w="80"/>
            </w:tcMar>
          </w:tcPr>
          <w:p>
            <w:r>
              <w:rPr>
                <w:color w:val="1F2937"/>
                <w:sz w:val="19"/>
                <w:szCs w:val="19"/>
              </w:rPr>
              <w:t xml:space="preserve">Security and Compliance</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9</w:t>
            </w:r>
          </w:p>
        </w:tc>
        <w:tc>
          <w:tcPr>
            <w:tcMar>
              <w:top w:type="dxa" w:w="50"/>
              <w:left w:type="dxa" w:w="80"/>
              <w:bottom w:type="dxa" w:w="50"/>
              <w:right w:type="dxa" w:w="80"/>
            </w:tcMar>
          </w:tcPr>
          <w:p>
            <w:r>
              <w:rPr>
                <w:color w:val="1F2937"/>
                <w:sz w:val="19"/>
                <w:szCs w:val="19"/>
              </w:rPr>
              <w:t xml:space="preserve">Architecture Deep-Dive</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spacing w:after="4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6B7280"/>
          <w:sz w:val="16"/>
          <w:szCs w:val="16"/>
        </w:rPr>
        <w:t xml:space="preserve">Figure 5.1 — Logical architecture</w:t>
      </w:r>
    </w:p>
    <w:p>
      <w:pPr>
        <w:spacing w:after="80" w:before="160"/>
      </w:pPr>
      <w:r>
        <w:rPr>
          <w:b/>
          <w:bCs/>
          <w:color w:val="1F2937"/>
          <w:sz w:val="24"/>
          <w:szCs w:val="24"/>
        </w:rPr>
        <w:t xml:space="preserve">5.2 Reference Deployment and Data Flow</w:t>
      </w:r>
    </w:p>
    <w:p>
      <w:pPr>
        <w:spacing w:after="120"/>
      </w:pPr>
      <w:r>
        <w:rPr>
          <w:color w:val="1F2937"/>
          <w:sz w:val="22"/>
          <w:szCs w:val="22"/>
        </w:rPr>
        <w:t xml:space="preserve">The module is designed for a resilient, cloud-ready deployment. Traffic is terminated at a managed edge, routed to stateless application services behind a private network boundary, and backed by managed data and integration stores. The data-flow view shows how metered readings move through import, validation and balancing into the decisions and actions the tool surfaces.</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5.2 — Deployment architecture</w:t>
      </w:r>
    </w:p>
    <w:p>
      <w:pPr>
        <w:spacing w:after="40" w:before="16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6"/>
          <w:szCs w:val="16"/>
        </w:rPr>
        <w:t xml:space="preserve">Figure 5.3 — Data flow</w:t>
      </w:r>
    </w:p>
    <w:p>
      <w:pPr>
        <w:spacing w:after="80" w:before="160"/>
      </w:pPr>
      <w:r>
        <w:rPr>
          <w:b/>
          <w:bCs/>
          <w:color w:val="1F2937"/>
          <w:sz w:val="24"/>
          <w:szCs w:val="24"/>
        </w:rPr>
        <w:t xml:space="preserve">5.3 Application Configuration Workflows</w:t>
      </w:r>
    </w:p>
    <w:p>
      <w:pPr>
        <w:spacing w:after="120"/>
      </w:pPr>
      <w:r>
        <w:rPr>
          <w:color w:val="1F2937"/>
          <w:sz w:val="22"/>
          <w:szCs w:val="22"/>
        </w:rPr>
        <w:t xml:space="preserve">The following workflows explain how the tool is operated day to day — behaviour that cannot be conveyed by a static screen alone. Each workflow diagram is paired with a capture of the corresponding screen in the live FBM application.</w:t>
      </w:r>
    </w:p>
    <w:p>
      <w:pPr>
        <w:spacing w:after="120"/>
      </w:pPr>
      <w:r>
        <w:rPr>
          <w:color w:val="1F2937"/>
          <w:sz w:val="22"/>
          <w:szCs w:val="22"/>
        </w:rPr>
        <w:t xml:space="preserve">Configuring a network establishes the eight-level hierarchy (Operating Unit down to Meter); network mapping then lets an engineer re-parent equipment and group meters, transformers or feeders into clusters by drag-and-drop, with energy roll-ups recalculated automatically.</w:t>
      </w:r>
    </w:p>
    <w:p>
      <w:pPr>
        <w:spacing w:after="4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485900"/>
                    </a:xfrm>
                    <a:prstGeom prst="rect">
                      <a:avLst/>
                    </a:prstGeom>
                  </pic:spPr>
                </pic:pic>
              </a:graphicData>
            </a:graphic>
          </wp:inline>
        </w:drawing>
      </w:r>
    </w:p>
    <w:p>
      <w:pPr>
        <w:spacing w:after="200"/>
        <w:jc w:val="center"/>
      </w:pPr>
      <w:r>
        <w:rPr>
          <w:i/>
          <w:iCs/>
          <w:color w:val="6B7280"/>
          <w:sz w:val="16"/>
          <w:szCs w:val="16"/>
        </w:rPr>
        <w:t xml:space="preserve">Figure 5.4 — Network configuration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5.7 — Configure Network (live tool): the eight-level hierarchy with automatic energy roll-up and loss KPIs computed at every level.</w:t>
      </w:r>
    </w:p>
    <w:p>
      <w:pPr>
        <w:spacing w:after="40" w:before="16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i/>
          <w:iCs/>
          <w:color w:val="6B7280"/>
          <w:sz w:val="16"/>
          <w:szCs w:val="16"/>
        </w:rPr>
        <w:t xml:space="preserve">Figure 5.5 — Network mapping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5.8 — Network Mapping (live tool): drag-and-drop organisation chart for a selected substation.</w:t>
      </w:r>
    </w:p>
    <w:p>
      <w:pPr>
        <w:spacing w:after="40" w:before="1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6"/>
          <w:szCs w:val="16"/>
        </w:rPr>
        <w:t xml:space="preserve">Figure 5.6 — Creating a meter cluster</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5.9 — Network Mapping (live tool): two meters grouped into a meter cluster, with one-click Ungroup to reverse the grouping.</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40" w:before="1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6"/>
          <w:szCs w:val="16"/>
        </w:rPr>
        <w:t xml:space="preserve">Figure 6.1 — Delivery roadmap</w:t>
      </w:r>
    </w:p>
    <w:p>
      <w:pPr>
        <w:spacing w:after="4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6"/>
          <w:szCs w:val="16"/>
        </w:rPr>
        <w:t xml:space="preserve">Figure 6.2 — Sprint cycle</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i/>
          <w:iCs/>
          <w:color w:val="6B7280"/>
          <w:sz w:val="16"/>
          <w:szCs w:val="16"/>
        </w:rPr>
        <w:t xml:space="preserve">Figure 7.1 — Governance structure</w:t>
      </w:r>
    </w:p>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pStyle w:val="Heading1"/>
        <w:pageBreakBefore/>
        <w:spacing w:after="40" w:before="200"/>
      </w:pPr>
      <w:r>
        <w:rPr>
          <w:b/>
          <w:bCs/>
          <w:color w:val="004898"/>
          <w:sz w:val="30"/>
          <w:szCs w:val="30"/>
        </w:rPr>
        <w:t xml:space="preserve">8. Security and Compliance</w:t>
      </w:r>
    </w:p>
    <w:p>
      <w:pPr>
        <w:spacing w:after="160"/>
      </w:pPr>
      <w:r>
        <w:rPr>
          <w:b/>
          <w:bCs/>
          <w:i/>
          <w:iCs/>
          <w:color w:val="A39273"/>
          <w:sz w:val="20"/>
          <w:szCs w:val="20"/>
        </w:rPr>
        <w:t xml:space="preserve">Owned by Thabiso</w:t>
      </w:r>
    </w:p>
    <w:p>
      <w:pPr>
        <w:spacing w:after="140"/>
      </w:pPr>
      <w:r>
        <w:rPr>
          <w:color w:val="1F2937"/>
          <w:sz w:val="22"/>
          <w:szCs w:val="22"/>
        </w:rPr>
        <w:t xml:space="preserve">Security is treated as a design property of the FBM solution rather than an afterthought. The architecture applies defence-in-depth: independent, mutually reinforcing controls at the perimeter, network, identity, application and data layers, so that the failure of any single control is contained by the layers around it. This section responds to the non-functional security requirements of the Statement of Work (SoW 5.1) and is designed to align with Eskom's information-security standards, which will be confirmed during discovery.</w:t>
      </w:r>
    </w:p>
    <w:p>
      <w:pPr>
        <w:spacing w:after="140"/>
      </w:pPr>
      <w:r>
        <w:rPr>
          <w:color w:val="1F2937"/>
          <w:sz w:val="22"/>
          <w:szCs w:val="22"/>
        </w:rPr>
        <w:t xml:space="preserve">The controls below describe the intended security posture for the production service. They are stated as design commitments subject to detailed design, Client security standards and the outcome of a joint threat and risk assessment; specific certification scopes are noted as assumptions where relevant.</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8.1 — Defence-in-depth security layers</w:t>
      </w:r>
    </w:p>
    <w:p>
      <w:pPr>
        <w:spacing w:after="80" w:before="160"/>
      </w:pPr>
      <w:r>
        <w:rPr>
          <w:b/>
          <w:bCs/>
          <w:color w:val="1F2937"/>
          <w:sz w:val="24"/>
          <w:szCs w:val="24"/>
        </w:rPr>
        <w:t xml:space="preserve">8.1 Security Principles</w:t>
      </w:r>
    </w:p>
    <w:p>
      <w:pPr>
        <w:pStyle w:val="ListParagraph"/>
        <w:numPr>
          <w:ilvl w:val="0"/>
          <w:numId w:val="1"/>
        </w:numPr>
        <w:spacing w:after="60"/>
      </w:pPr>
      <w:r>
        <w:rPr>
          <w:color w:val="1F2937"/>
          <w:sz w:val="22"/>
          <w:szCs w:val="22"/>
        </w:rPr>
        <w:t xml:space="preserve">Secure by design and by default — security requirements are captured in the backlog and verified as part of the Definition of Done.</w:t>
      </w:r>
    </w:p>
    <w:p>
      <w:pPr>
        <w:pStyle w:val="ListParagraph"/>
        <w:numPr>
          <w:ilvl w:val="0"/>
          <w:numId w:val="1"/>
        </w:numPr>
        <w:spacing w:after="60"/>
      </w:pPr>
      <w:r>
        <w:rPr>
          <w:color w:val="1F2937"/>
          <w:sz w:val="22"/>
          <w:szCs w:val="22"/>
        </w:rPr>
        <w:t xml:space="preserve">Least privilege and need-to-know — access is granted against defined roles and reviewed periodically.</w:t>
      </w:r>
    </w:p>
    <w:p>
      <w:pPr>
        <w:pStyle w:val="ListParagraph"/>
        <w:numPr>
          <w:ilvl w:val="0"/>
          <w:numId w:val="1"/>
        </w:numPr>
        <w:spacing w:after="60"/>
      </w:pPr>
      <w:r>
        <w:rPr>
          <w:color w:val="1F2937"/>
          <w:sz w:val="22"/>
          <w:szCs w:val="22"/>
        </w:rPr>
        <w:t xml:space="preserve">Defence-in-depth — no single control is relied upon; controls are layered and independent.</w:t>
      </w:r>
    </w:p>
    <w:p>
      <w:pPr>
        <w:pStyle w:val="ListParagraph"/>
        <w:numPr>
          <w:ilvl w:val="0"/>
          <w:numId w:val="1"/>
        </w:numPr>
        <w:spacing w:after="60"/>
      </w:pPr>
      <w:r>
        <w:rPr>
          <w:color w:val="1F2937"/>
          <w:sz w:val="22"/>
          <w:szCs w:val="22"/>
        </w:rPr>
        <w:t xml:space="preserve">Zero-trust orientation — every request is authenticated, authorised and logged regardless of network location.</w:t>
      </w:r>
    </w:p>
    <w:p>
      <w:pPr>
        <w:pStyle w:val="ListParagraph"/>
        <w:numPr>
          <w:ilvl w:val="0"/>
          <w:numId w:val="1"/>
        </w:numPr>
        <w:spacing w:after="60"/>
      </w:pPr>
      <w:r>
        <w:rPr>
          <w:color w:val="1F2937"/>
          <w:sz w:val="22"/>
          <w:szCs w:val="22"/>
        </w:rPr>
        <w:t xml:space="preserve">Encryption everywhere — data is protected in transit and at rest across all tiers.</w:t>
      </w:r>
    </w:p>
    <w:p>
      <w:pPr>
        <w:pStyle w:val="ListParagraph"/>
        <w:numPr>
          <w:ilvl w:val="0"/>
          <w:numId w:val="1"/>
        </w:numPr>
        <w:spacing w:after="60"/>
      </w:pPr>
      <w:r>
        <w:rPr>
          <w:color w:val="1F2937"/>
          <w:sz w:val="22"/>
          <w:szCs w:val="22"/>
        </w:rPr>
        <w:t xml:space="preserve">Segregation of duties and environments — development, test and production are isolated with controlled promotion.</w:t>
      </w:r>
    </w:p>
    <w:p>
      <w:pPr>
        <w:spacing w:after="80" w:before="160"/>
      </w:pPr>
      <w:r>
        <w:rPr>
          <w:b/>
          <w:bCs/>
          <w:color w:val="1F2937"/>
          <w:sz w:val="24"/>
          <w:szCs w:val="24"/>
        </w:rPr>
        <w:t xml:space="preserve">8.2 Identity and Access Management</w:t>
      </w:r>
    </w:p>
    <w:p>
      <w:pPr>
        <w:spacing w:after="120"/>
      </w:pPr>
      <w:r>
        <w:rPr>
          <w:color w:val="1F2937"/>
          <w:sz w:val="22"/>
          <w:szCs w:val="22"/>
        </w:rPr>
        <w:t xml:space="preserve">Authentication federates to Eskom's identity provider so that FBM never holds primary credentials. Every request passes identity, edge and authorisation controls before reaching application services, and each decision — grant or deny — is written to the immutable audit trail already demonstrated in the prototype.</w:t>
      </w:r>
    </w:p>
    <w:p>
      <w:pPr>
        <w:pStyle w:val="ListParagraph"/>
        <w:numPr>
          <w:ilvl w:val="0"/>
          <w:numId w:val="1"/>
        </w:numPr>
        <w:spacing w:after="60"/>
      </w:pPr>
      <w:r>
        <w:rPr>
          <w:color w:val="1F2937"/>
          <w:sz w:val="22"/>
          <w:szCs w:val="22"/>
        </w:rPr>
        <w:t xml:space="preserve">Single sign-on via Microsoft Entra ID (Azure AD) with multi-factor authentication enforced for all users.</w:t>
      </w:r>
    </w:p>
    <w:p>
      <w:pPr>
        <w:pStyle w:val="ListParagraph"/>
        <w:numPr>
          <w:ilvl w:val="0"/>
          <w:numId w:val="1"/>
        </w:numPr>
        <w:spacing w:after="60"/>
      </w:pPr>
      <w:r>
        <w:rPr>
          <w:color w:val="1F2937"/>
          <w:sz w:val="22"/>
          <w:szCs w:val="22"/>
        </w:rPr>
        <w:t xml:space="preserve">Role-based access control mapped to the FBM capability model demonstrated in the application (e.g. view, edit network, manage meters, resolve exceptions, initiate audits, export, view audit log).</w:t>
      </w:r>
    </w:p>
    <w:p>
      <w:pPr>
        <w:pStyle w:val="ListParagraph"/>
        <w:numPr>
          <w:ilvl w:val="0"/>
          <w:numId w:val="1"/>
        </w:numPr>
        <w:spacing w:after="60"/>
      </w:pPr>
      <w:r>
        <w:rPr>
          <w:color w:val="1F2937"/>
          <w:sz w:val="22"/>
          <w:szCs w:val="22"/>
        </w:rPr>
        <w:t xml:space="preserve">Privileged Identity Management with just-in-time elevation and approval for administrative roles.</w:t>
      </w:r>
    </w:p>
    <w:p>
      <w:pPr>
        <w:pStyle w:val="ListParagraph"/>
        <w:numPr>
          <w:ilvl w:val="0"/>
          <w:numId w:val="1"/>
        </w:numPr>
        <w:spacing w:after="60"/>
      </w:pPr>
      <w:r>
        <w:rPr>
          <w:color w:val="1F2937"/>
          <w:sz w:val="22"/>
          <w:szCs w:val="22"/>
        </w:rPr>
        <w:t xml:space="preserve">Joiner-Mover-Leaver process integration so access follows the user lifecycle.</w:t>
      </w:r>
    </w:p>
    <w:p>
      <w:pPr>
        <w:pStyle w:val="ListParagraph"/>
        <w:numPr>
          <w:ilvl w:val="0"/>
          <w:numId w:val="1"/>
        </w:numPr>
        <w:spacing w:after="60"/>
      </w:pPr>
      <w:r>
        <w:rPr>
          <w:color w:val="1F2937"/>
          <w:sz w:val="22"/>
          <w:szCs w:val="22"/>
        </w:rPr>
        <w:t xml:space="preserve">Periodic access recertification and automatic session expiry.</w:t>
      </w:r>
    </w:p>
    <w:p>
      <w:pPr>
        <w:spacing w:after="40" w:before="16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6"/>
          <w:szCs w:val="16"/>
        </w:rPr>
        <w:t xml:space="preserve">Figure 8.2 — Authenticated request &amp; access-control flow</w:t>
      </w:r>
    </w:p>
    <w:p>
      <w:pPr>
        <w:spacing w:after="80" w:before="160"/>
      </w:pPr>
      <w:r>
        <w:rPr>
          <w:b/>
          <w:bCs/>
          <w:color w:val="1F2937"/>
          <w:sz w:val="24"/>
          <w:szCs w:val="24"/>
        </w:rPr>
        <w:t xml:space="preserve">8.3 Data Protection and Privacy</w:t>
      </w:r>
    </w:p>
    <w:p>
      <w:pPr>
        <w:pStyle w:val="ListParagraph"/>
        <w:numPr>
          <w:ilvl w:val="0"/>
          <w:numId w:val="1"/>
        </w:numPr>
        <w:spacing w:after="60"/>
      </w:pPr>
      <w:r>
        <w:rPr>
          <w:color w:val="1F2937"/>
          <w:sz w:val="22"/>
          <w:szCs w:val="22"/>
        </w:rPr>
        <w:t xml:space="preserve">Encryption at rest using AES-256 (Transparent Data Encryption for Azure SQL; server-side encryption for storage).</w:t>
      </w:r>
    </w:p>
    <w:p>
      <w:pPr>
        <w:pStyle w:val="ListParagraph"/>
        <w:numPr>
          <w:ilvl w:val="0"/>
          <w:numId w:val="1"/>
        </w:numPr>
        <w:spacing w:after="60"/>
      </w:pPr>
      <w:r>
        <w:rPr>
          <w:color w:val="1F2937"/>
          <w:sz w:val="22"/>
          <w:szCs w:val="22"/>
        </w:rPr>
        <w:t xml:space="preserve">Encryption in transit using TLS 1.3 for all external and service-to-service traffic.</w:t>
      </w:r>
    </w:p>
    <w:p>
      <w:pPr>
        <w:pStyle w:val="ListParagraph"/>
        <w:numPr>
          <w:ilvl w:val="0"/>
          <w:numId w:val="1"/>
        </w:numPr>
        <w:spacing w:after="60"/>
      </w:pPr>
      <w:r>
        <w:rPr>
          <w:color w:val="1F2937"/>
          <w:sz w:val="22"/>
          <w:szCs w:val="22"/>
        </w:rPr>
        <w:t xml:space="preserve">Data residency within the Republic of South Africa (Azure South Africa North), addressing data-sovereignty requirements.</w:t>
      </w:r>
    </w:p>
    <w:p>
      <w:pPr>
        <w:pStyle w:val="ListParagraph"/>
        <w:numPr>
          <w:ilvl w:val="0"/>
          <w:numId w:val="1"/>
        </w:numPr>
        <w:spacing w:after="60"/>
      </w:pPr>
      <w:r>
        <w:rPr>
          <w:color w:val="1F2937"/>
          <w:sz w:val="22"/>
          <w:szCs w:val="22"/>
        </w:rPr>
        <w:t xml:space="preserve">Personally identifiable information masked or de-identified in non-production environments.</w:t>
      </w:r>
    </w:p>
    <w:p>
      <w:pPr>
        <w:pStyle w:val="ListParagraph"/>
        <w:numPr>
          <w:ilvl w:val="0"/>
          <w:numId w:val="1"/>
        </w:numPr>
        <w:spacing w:after="60"/>
      </w:pPr>
      <w:r>
        <w:rPr>
          <w:color w:val="1F2937"/>
          <w:sz w:val="22"/>
          <w:szCs w:val="22"/>
        </w:rPr>
        <w:t xml:space="preserve">Defined data-classification, retention and secure-disposal policies.</w:t>
      </w:r>
    </w:p>
    <w:p>
      <w:pPr>
        <w:pStyle w:val="ListParagraph"/>
        <w:numPr>
          <w:ilvl w:val="0"/>
          <w:numId w:val="1"/>
        </w:numPr>
        <w:spacing w:after="60"/>
      </w:pPr>
      <w:r>
        <w:rPr>
          <w:color w:val="1F2937"/>
          <w:sz w:val="22"/>
          <w:szCs w:val="22"/>
        </w:rPr>
        <w:t xml:space="preserve">POPIA-aligned processing, including lawful basis, data-subject rights handling and records of processing.</w:t>
      </w:r>
    </w:p>
    <w:p>
      <w:pPr>
        <w:spacing w:after="80" w:before="160"/>
      </w:pPr>
      <w:r>
        <w:rPr>
          <w:b/>
          <w:bCs/>
          <w:color w:val="1F2937"/>
          <w:sz w:val="24"/>
          <w:szCs w:val="24"/>
        </w:rPr>
        <w:t xml:space="preserve">8.4 Application and Platform Security</w:t>
      </w:r>
    </w:p>
    <w:p>
      <w:pPr>
        <w:pStyle w:val="ListParagraph"/>
        <w:numPr>
          <w:ilvl w:val="0"/>
          <w:numId w:val="1"/>
        </w:numPr>
        <w:spacing w:after="60"/>
      </w:pPr>
      <w:r>
        <w:rPr>
          <w:color w:val="1F2937"/>
          <w:sz w:val="22"/>
          <w:szCs w:val="22"/>
        </w:rPr>
        <w:t xml:space="preserve">Secure SDLC with threat modelling, secure-coding standards and mandatory peer review.</w:t>
      </w:r>
    </w:p>
    <w:p>
      <w:pPr>
        <w:pStyle w:val="ListParagraph"/>
        <w:numPr>
          <w:ilvl w:val="0"/>
          <w:numId w:val="1"/>
        </w:numPr>
        <w:spacing w:after="60"/>
      </w:pPr>
      <w:r>
        <w:rPr>
          <w:color w:val="1F2937"/>
          <w:sz w:val="22"/>
          <w:szCs w:val="22"/>
        </w:rPr>
        <w:t xml:space="preserve">Static and dynamic application security testing (SAST/DAST) and software-composition analysis in the CI/CD pipeline.</w:t>
      </w:r>
    </w:p>
    <w:p>
      <w:pPr>
        <w:pStyle w:val="ListParagraph"/>
        <w:numPr>
          <w:ilvl w:val="0"/>
          <w:numId w:val="1"/>
        </w:numPr>
        <w:spacing w:after="60"/>
      </w:pPr>
      <w:r>
        <w:rPr>
          <w:color w:val="1F2937"/>
          <w:sz w:val="22"/>
          <w:szCs w:val="22"/>
        </w:rPr>
        <w:t xml:space="preserve">Container image scanning and hardened, patched base images.</w:t>
      </w:r>
    </w:p>
    <w:p>
      <w:pPr>
        <w:pStyle w:val="ListParagraph"/>
        <w:numPr>
          <w:ilvl w:val="0"/>
          <w:numId w:val="1"/>
        </w:numPr>
        <w:spacing w:after="60"/>
      </w:pPr>
      <w:r>
        <w:rPr>
          <w:color w:val="1F2937"/>
          <w:sz w:val="22"/>
          <w:szCs w:val="22"/>
        </w:rPr>
        <w:t xml:space="preserve">Secrets and keys held in Azure Key Vault — never in source control or configuration files.</w:t>
      </w:r>
    </w:p>
    <w:p>
      <w:pPr>
        <w:pStyle w:val="ListParagraph"/>
        <w:numPr>
          <w:ilvl w:val="0"/>
          <w:numId w:val="1"/>
        </w:numPr>
        <w:spacing w:after="60"/>
      </w:pPr>
      <w:r>
        <w:rPr>
          <w:color w:val="1F2937"/>
          <w:sz w:val="22"/>
          <w:szCs w:val="22"/>
        </w:rPr>
        <w:t xml:space="preserve">Web Application Firewall, DDoS protection and rate limiting at the edge.</w:t>
      </w:r>
    </w:p>
    <w:p>
      <w:pPr>
        <w:pStyle w:val="ListParagraph"/>
        <w:numPr>
          <w:ilvl w:val="0"/>
          <w:numId w:val="1"/>
        </w:numPr>
        <w:spacing w:after="60"/>
      </w:pPr>
      <w:r>
        <w:rPr>
          <w:color w:val="1F2937"/>
          <w:sz w:val="22"/>
          <w:szCs w:val="22"/>
        </w:rPr>
        <w:t xml:space="preserve">Independent penetration testing before every major production release and periodically thereafter.</w:t>
      </w:r>
    </w:p>
    <w:p>
      <w:pPr>
        <w:spacing w:after="80" w:before="160"/>
      </w:pPr>
      <w:r>
        <w:rPr>
          <w:b/>
          <w:bCs/>
          <w:color w:val="1F2937"/>
          <w:sz w:val="24"/>
          <w:szCs w:val="24"/>
        </w:rPr>
        <w:t xml:space="preserve">8.5 Monitoring, Audit and Incident Response</w:t>
      </w:r>
    </w:p>
    <w:p>
      <w:pPr>
        <w:pStyle w:val="ListParagraph"/>
        <w:numPr>
          <w:ilvl w:val="0"/>
          <w:numId w:val="1"/>
        </w:numPr>
        <w:spacing w:after="60"/>
      </w:pPr>
      <w:r>
        <w:rPr>
          <w:color w:val="1F2937"/>
          <w:sz w:val="22"/>
          <w:szCs w:val="22"/>
        </w:rPr>
        <w:t xml:space="preserve">Centralised logging and SIEM via Azure Monitor, Log Analytics and Microsoft Sentinel.</w:t>
      </w:r>
    </w:p>
    <w:p>
      <w:pPr>
        <w:pStyle w:val="ListParagraph"/>
        <w:numPr>
          <w:ilvl w:val="0"/>
          <w:numId w:val="1"/>
        </w:numPr>
        <w:spacing w:after="60"/>
      </w:pPr>
      <w:r>
        <w:rPr>
          <w:color w:val="1F2937"/>
          <w:sz w:val="22"/>
          <w:szCs w:val="22"/>
        </w:rPr>
        <w:t xml:space="preserve">Immutable, tamper-evident audit trail of security-relevant events (demonstrated in the prototype's Access &amp; Audit module).</w:t>
      </w:r>
    </w:p>
    <w:p>
      <w:pPr>
        <w:pStyle w:val="ListParagraph"/>
        <w:numPr>
          <w:ilvl w:val="0"/>
          <w:numId w:val="1"/>
        </w:numPr>
        <w:spacing w:after="60"/>
      </w:pPr>
      <w:r>
        <w:rPr>
          <w:color w:val="1F2937"/>
          <w:sz w:val="22"/>
          <w:szCs w:val="22"/>
        </w:rPr>
        <w:t xml:space="preserve">Real-time alerting on anomalous authentication, authorisation and data-access events.</w:t>
      </w:r>
    </w:p>
    <w:p>
      <w:pPr>
        <w:pStyle w:val="ListParagraph"/>
        <w:numPr>
          <w:ilvl w:val="0"/>
          <w:numId w:val="1"/>
        </w:numPr>
        <w:spacing w:after="60"/>
      </w:pPr>
      <w:r>
        <w:rPr>
          <w:color w:val="1F2937"/>
          <w:sz w:val="22"/>
          <w:szCs w:val="22"/>
        </w:rPr>
        <w:t xml:space="preserve">Documented incident-response runbooks with defined severities and escalation paths.</w:t>
      </w:r>
    </w:p>
    <w:p>
      <w:pPr>
        <w:pStyle w:val="ListParagraph"/>
        <w:numPr>
          <w:ilvl w:val="0"/>
          <w:numId w:val="1"/>
        </w:numPr>
        <w:spacing w:after="60"/>
      </w:pPr>
      <w:r>
        <w:rPr>
          <w:color w:val="1F2937"/>
          <w:sz w:val="22"/>
          <w:szCs w:val="22"/>
        </w:rPr>
        <w:t xml:space="preserve">POPIA breach-notification handling within the regulated timeframe, with e-discovery support.</w:t>
      </w:r>
    </w:p>
    <w:p>
      <w:pPr>
        <w:pStyle w:val="ListParagraph"/>
        <w:numPr>
          <w:ilvl w:val="0"/>
          <w:numId w:val="1"/>
        </w:numPr>
        <w:spacing w:after="60"/>
      </w:pPr>
      <w:r>
        <w:rPr>
          <w:color w:val="1F2937"/>
          <w:sz w:val="22"/>
          <w:szCs w:val="22"/>
        </w:rPr>
        <w:t xml:space="preserve">Regular control testing, log review and continuous-improvement feedback into the backlog.</w:t>
      </w:r>
    </w:p>
    <w:p>
      <w:pPr>
        <w:spacing w:after="80" w:before="160"/>
      </w:pPr>
      <w:r>
        <w:rPr>
          <w:b/>
          <w:bCs/>
          <w:color w:val="1F2937"/>
          <w:sz w:val="24"/>
          <w:szCs w:val="24"/>
        </w:rPr>
        <w:t xml:space="preserve">8.6 Compliance and Standards Alignment</w:t>
      </w:r>
    </w:p>
    <w:p>
      <w:pPr>
        <w:spacing w:after="120"/>
      </w:pPr>
      <w:r>
        <w:rPr>
          <w:color w:val="1F2937"/>
          <w:sz w:val="22"/>
          <w:szCs w:val="22"/>
        </w:rPr>
        <w:t xml:space="preserve">The solution is designed to support the following frameworks. The matrix shows which control domains each framework informs; certification scope and supporting evidence are to be confirmed with T2 Technologies and the Client.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Framework</w:t>
            </w:r>
          </w:p>
        </w:tc>
        <w:tc>
          <w:tcPr>
            <w:shd w:fill="004898" w:val="clear"/>
            <w:tcMar>
              <w:top w:type="dxa" w:w="60"/>
              <w:left w:type="dxa" w:w="80"/>
              <w:bottom w:type="dxa" w:w="60"/>
              <w:right w:type="dxa" w:w="80"/>
            </w:tcMar>
          </w:tcPr>
          <w:p>
            <w:r>
              <w:rPr>
                <w:b/>
                <w:bCs/>
                <w:color w:val="FFFFFF"/>
                <w:sz w:val="20"/>
                <w:szCs w:val="20"/>
              </w:rPr>
              <w:t xml:space="preserve">Relevance to FBM</w:t>
            </w:r>
          </w:p>
        </w:tc>
      </w:tr>
      <w:tr>
        <w:tc>
          <w:tcPr>
            <w:tcMar>
              <w:top w:type="dxa" w:w="50"/>
              <w:left w:type="dxa" w:w="80"/>
              <w:bottom w:type="dxa" w:w="50"/>
              <w:right w:type="dxa" w:w="80"/>
            </w:tcMar>
          </w:tcPr>
          <w:p>
            <w:r>
              <w:rPr>
                <w:color w:val="1F2937"/>
                <w:sz w:val="19"/>
                <w:szCs w:val="19"/>
              </w:rPr>
              <w:t xml:space="preserve">POPIA (South Africa)</w:t>
            </w:r>
          </w:p>
        </w:tc>
        <w:tc>
          <w:tcPr>
            <w:tcMar>
              <w:top w:type="dxa" w:w="50"/>
              <w:left w:type="dxa" w:w="80"/>
              <w:bottom w:type="dxa" w:w="50"/>
              <w:right w:type="dxa" w:w="80"/>
            </w:tcMar>
          </w:tcPr>
          <w:p>
            <w:r>
              <w:rPr>
                <w:color w:val="1F2937"/>
                <w:sz w:val="19"/>
                <w:szCs w:val="19"/>
              </w:rPr>
              <w:t xml:space="preserve">Primary data-protection law governing processing of personal information.</w:t>
            </w:r>
          </w:p>
        </w:tc>
      </w:tr>
      <w:tr>
        <w:tc>
          <w:tcPr>
            <w:shd w:fill="F3F4F6" w:val="clear"/>
            <w:tcMar>
              <w:top w:type="dxa" w:w="50"/>
              <w:left w:type="dxa" w:w="80"/>
              <w:bottom w:type="dxa" w:w="50"/>
              <w:right w:type="dxa" w:w="80"/>
            </w:tcMar>
          </w:tcPr>
          <w:p>
            <w:r>
              <w:rPr>
                <w:color w:val="1F2937"/>
                <w:sz w:val="19"/>
                <w:szCs w:val="19"/>
              </w:rPr>
              <w:t xml:space="preserve">ISO/IEC 27001</w:t>
            </w:r>
          </w:p>
        </w:tc>
        <w:tc>
          <w:tcPr>
            <w:shd w:fill="F3F4F6" w:val="clear"/>
            <w:tcMar>
              <w:top w:type="dxa" w:w="50"/>
              <w:left w:type="dxa" w:w="80"/>
              <w:bottom w:type="dxa" w:w="50"/>
              <w:right w:type="dxa" w:w="80"/>
            </w:tcMar>
          </w:tcPr>
          <w:p>
            <w:r>
              <w:rPr>
                <w:color w:val="1F2937"/>
                <w:sz w:val="19"/>
                <w:szCs w:val="19"/>
              </w:rPr>
              <w:t xml:space="preserve">Information Security Management System baseline for controls and governance.</w:t>
            </w:r>
          </w:p>
        </w:tc>
      </w:tr>
      <w:tr>
        <w:tc>
          <w:tcPr>
            <w:tcMar>
              <w:top w:type="dxa" w:w="50"/>
              <w:left w:type="dxa" w:w="80"/>
              <w:bottom w:type="dxa" w:w="50"/>
              <w:right w:type="dxa" w:w="80"/>
            </w:tcMar>
          </w:tcPr>
          <w:p>
            <w:r>
              <w:rPr>
                <w:color w:val="1F2937"/>
                <w:sz w:val="19"/>
                <w:szCs w:val="19"/>
              </w:rPr>
              <w:t xml:space="preserve">ISO/IEC 27017 &amp; 27018</w:t>
            </w:r>
          </w:p>
        </w:tc>
        <w:tc>
          <w:tcPr>
            <w:tcMar>
              <w:top w:type="dxa" w:w="50"/>
              <w:left w:type="dxa" w:w="80"/>
              <w:bottom w:type="dxa" w:w="50"/>
              <w:right w:type="dxa" w:w="80"/>
            </w:tcMar>
          </w:tcPr>
          <w:p>
            <w:r>
              <w:rPr>
                <w:color w:val="1F2937"/>
                <w:sz w:val="19"/>
                <w:szCs w:val="19"/>
              </w:rPr>
              <w:t xml:space="preserve">Cloud-specific security controls and protection of PII in the cloud.</w:t>
            </w:r>
          </w:p>
        </w:tc>
      </w:tr>
      <w:tr>
        <w:tc>
          <w:tcPr>
            <w:shd w:fill="F3F4F6" w:val="clear"/>
            <w:tcMar>
              <w:top w:type="dxa" w:w="50"/>
              <w:left w:type="dxa" w:w="80"/>
              <w:bottom w:type="dxa" w:w="50"/>
              <w:right w:type="dxa" w:w="80"/>
            </w:tcMar>
          </w:tcPr>
          <w:p>
            <w:r>
              <w:rPr>
                <w:color w:val="1F2937"/>
                <w:sz w:val="19"/>
                <w:szCs w:val="19"/>
              </w:rPr>
              <w:t xml:space="preserve">SOC 2 Type II</w:t>
            </w:r>
          </w:p>
        </w:tc>
        <w:tc>
          <w:tcPr>
            <w:shd w:fill="F3F4F6" w:val="clear"/>
            <w:tcMar>
              <w:top w:type="dxa" w:w="50"/>
              <w:left w:type="dxa" w:w="80"/>
              <w:bottom w:type="dxa" w:w="50"/>
              <w:right w:type="dxa" w:w="80"/>
            </w:tcMar>
          </w:tcPr>
          <w:p>
            <w:r>
              <w:rPr>
                <w:color w:val="1F2937"/>
                <w:sz w:val="19"/>
                <w:szCs w:val="19"/>
              </w:rPr>
              <w:t xml:space="preserve">Independent attestation of security, availability and confidentiality controls.</w:t>
            </w:r>
          </w:p>
        </w:tc>
      </w:tr>
      <w:tr>
        <w:tc>
          <w:tcPr>
            <w:tcMar>
              <w:top w:type="dxa" w:w="50"/>
              <w:left w:type="dxa" w:w="80"/>
              <w:bottom w:type="dxa" w:w="50"/>
              <w:right w:type="dxa" w:w="80"/>
            </w:tcMar>
          </w:tcPr>
          <w:p>
            <w:r>
              <w:rPr>
                <w:color w:val="1F2937"/>
                <w:sz w:val="19"/>
                <w:szCs w:val="19"/>
              </w:rPr>
              <w:t xml:space="preserve">GDPR</w:t>
            </w:r>
          </w:p>
        </w:tc>
        <w:tc>
          <w:tcPr>
            <w:tcMar>
              <w:top w:type="dxa" w:w="50"/>
              <w:left w:type="dxa" w:w="80"/>
              <w:bottom w:type="dxa" w:w="50"/>
              <w:right w:type="dxa" w:w="80"/>
            </w:tcMar>
          </w:tcPr>
          <w:p>
            <w:r>
              <w:rPr>
                <w:color w:val="1F2937"/>
                <w:sz w:val="19"/>
                <w:szCs w:val="19"/>
              </w:rPr>
              <w:t xml:space="preserve">Applied as good practice for privacy-by-design and data-subject rights.</w:t>
            </w:r>
          </w:p>
        </w:tc>
      </w:tr>
      <w:tr>
        <w:tc>
          <w:tcPr>
            <w:shd w:fill="F3F4F6" w:val="clear"/>
            <w:tcMar>
              <w:top w:type="dxa" w:w="50"/>
              <w:left w:type="dxa" w:w="80"/>
              <w:bottom w:type="dxa" w:w="50"/>
              <w:right w:type="dxa" w:w="80"/>
            </w:tcMar>
          </w:tcPr>
          <w:p>
            <w:r>
              <w:rPr>
                <w:color w:val="1F2937"/>
                <w:sz w:val="19"/>
                <w:szCs w:val="19"/>
              </w:rPr>
              <w:t xml:space="preserve">NIST Cybersecurity Framework</w:t>
            </w:r>
          </w:p>
        </w:tc>
        <w:tc>
          <w:tcPr>
            <w:shd w:fill="F3F4F6" w:val="clear"/>
            <w:tcMar>
              <w:top w:type="dxa" w:w="50"/>
              <w:left w:type="dxa" w:w="80"/>
              <w:bottom w:type="dxa" w:w="50"/>
              <w:right w:type="dxa" w:w="80"/>
            </w:tcMar>
          </w:tcPr>
          <w:p>
            <w:r>
              <w:rPr>
                <w:color w:val="1F2937"/>
                <w:sz w:val="19"/>
                <w:szCs w:val="19"/>
              </w:rPr>
              <w:t xml:space="preserve">Structures the overall posture: Identify, Protect, Detect, Respond, Recover.</w:t>
            </w:r>
          </w:p>
        </w:tc>
      </w:tr>
      <w:tr>
        <w:tc>
          <w:tcPr>
            <w:tcMar>
              <w:top w:type="dxa" w:w="50"/>
              <w:left w:type="dxa" w:w="80"/>
              <w:bottom w:type="dxa" w:w="50"/>
              <w:right w:type="dxa" w:w="80"/>
            </w:tcMar>
          </w:tcPr>
          <w:p>
            <w:r>
              <w:rPr>
                <w:color w:val="1F2937"/>
                <w:sz w:val="19"/>
                <w:szCs w:val="19"/>
              </w:rPr>
              <w:t xml:space="preserve">Cybercrimes Act &amp; King IV</w:t>
            </w:r>
          </w:p>
        </w:tc>
        <w:tc>
          <w:tcPr>
            <w:tcMar>
              <w:top w:type="dxa" w:w="50"/>
              <w:left w:type="dxa" w:w="80"/>
              <w:bottom w:type="dxa" w:w="50"/>
              <w:right w:type="dxa" w:w="80"/>
            </w:tcMar>
          </w:tcPr>
          <w:p>
            <w:r>
              <w:rPr>
                <w:color w:val="1F2937"/>
                <w:sz w:val="19"/>
                <w:szCs w:val="19"/>
              </w:rPr>
              <w:t xml:space="preserve">South African statutory and governance context for security and oversight.</w:t>
            </w:r>
          </w:p>
        </w:tc>
      </w:tr>
    </w:tbl>
    <w:p>
      <w:pPr>
        <w:spacing w:after="140" w:before="100"/>
      </w:pPr>
      <w:r>
        <w:rPr>
          <w:i/>
          <w:iCs/>
          <w:color w:val="6B7280"/>
          <w:sz w:val="18"/>
          <w:szCs w:val="18"/>
        </w:rPr>
        <w:t xml:space="preserve">Where T2 Technologies does not currently hold a specific certification, the commitment is to operate in alignment with the standard and to pursue certification within a timeframe agreed with the Client. All items are subject to confirmation during discovery.</w:t>
      </w:r>
    </w:p>
    <w:p>
      <w:pPr>
        <w:spacing w:after="40" w:before="16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6B7280"/>
          <w:sz w:val="16"/>
          <w:szCs w:val="16"/>
        </w:rPr>
        <w:t xml:space="preserve">Figure 8.3 — Compliance framework mapping</w:t>
      </w:r>
    </w:p>
    <w:p>
      <w:pPr>
        <w:pStyle w:val="Heading1"/>
        <w:pageBreakBefore/>
        <w:spacing w:after="40" w:before="200"/>
      </w:pPr>
      <w:r>
        <w:rPr>
          <w:b/>
          <w:bCs/>
          <w:color w:val="004898"/>
          <w:sz w:val="30"/>
          <w:szCs w:val="30"/>
        </w:rPr>
        <w:t xml:space="preserve">9. Architecture Deep-Dive</w:t>
      </w:r>
    </w:p>
    <w:p>
      <w:pPr>
        <w:spacing w:after="160"/>
      </w:pPr>
      <w:r>
        <w:rPr>
          <w:b/>
          <w:bCs/>
          <w:i/>
          <w:iCs/>
          <w:color w:val="A39273"/>
          <w:sz w:val="20"/>
          <w:szCs w:val="20"/>
        </w:rPr>
        <w:t xml:space="preserve">Owned by Thabiso</w:t>
      </w:r>
    </w:p>
    <w:p>
      <w:pPr>
        <w:spacing w:after="140"/>
      </w:pPr>
      <w:r>
        <w:rPr>
          <w:color w:val="1F2937"/>
          <w:sz w:val="22"/>
          <w:szCs w:val="22"/>
        </w:rPr>
        <w:t xml:space="preserve">This section expands the solution architecture in Section 5 into an implementable, cloud-native target for deployment into Eskom's Microsoft Azure tenant, with all data resident in South Africa. The design favours composable, containerised microservices, an API-first integration model and elastic scaling, so the platform can grow from the demonstrated prototype to a national roll-out without re-architecture.</w:t>
      </w:r>
    </w:p>
    <w:p>
      <w:pPr>
        <w:spacing w:after="140"/>
      </w:pPr>
      <w:r>
        <w:rPr>
          <w:color w:val="1F2937"/>
          <w:sz w:val="22"/>
          <w:szCs w:val="22"/>
        </w:rPr>
        <w:t xml:space="preserve">The specific Azure services named below are a reference design. Final service selection, sizing, region pairing and landing-zone configuration will be confirmed with Eskom's cloud and security teams during discovery.</w:t>
      </w:r>
    </w:p>
    <w:p>
      <w:pPr>
        <w:spacing w:after="140" w:before="140"/>
      </w:pPr>
      <w:r>
        <w:rPr>
          <w:i/>
          <w:iCs/>
          <w:color w:val="6B7280"/>
          <w:sz w:val="20"/>
          <w:szCs w:val="20"/>
        </w:rPr>
        <w:t xml:space="preserve">Architecture is presented as a reference design aligned to the SoW's cloud, security and scalability requirements. Target tenant configuration, service selection and non-functional targets (availability, RPO/RTO, performance) must be confirmed with Eskom during discovery.</w:t>
      </w:r>
    </w:p>
    <w:p>
      <w:pPr>
        <w:spacing w:after="40" w:before="160"/>
        <w:jc w:val="center"/>
      </w:pPr>
      <w:r>
        <w:drawing>
          <wp:inline distT="0" distB="0" distL="0" distR="0">
            <wp:extent cx="571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i/>
          <w:iCs/>
          <w:color w:val="6B7280"/>
          <w:sz w:val="16"/>
          <w:szCs w:val="16"/>
        </w:rPr>
        <w:t xml:space="preserve">Figure 9.1 — Azure deployment architecture</w:t>
      </w:r>
    </w:p>
    <w:p>
      <w:pPr>
        <w:spacing w:after="80" w:before="160"/>
      </w:pPr>
      <w:r>
        <w:rPr>
          <w:b/>
          <w:bCs/>
          <w:color w:val="1F2937"/>
          <w:sz w:val="24"/>
          <w:szCs w:val="24"/>
        </w:rPr>
        <w:t xml:space="preserve">9.1 Azure Landing Zone and Hosting</w:t>
      </w:r>
    </w:p>
    <w:p>
      <w:pPr>
        <w:pStyle w:val="ListParagraph"/>
        <w:numPr>
          <w:ilvl w:val="0"/>
          <w:numId w:val="1"/>
        </w:numPr>
        <w:spacing w:after="60"/>
      </w:pPr>
      <w:r>
        <w:rPr>
          <w:color w:val="1F2937"/>
          <w:sz w:val="22"/>
          <w:szCs w:val="22"/>
        </w:rPr>
        <w:t xml:space="preserve">Deployment into an Eskom-governed Azure landing zone with policy, RBAC and cost guardrails.</w:t>
      </w:r>
    </w:p>
    <w:p>
      <w:pPr>
        <w:pStyle w:val="ListParagraph"/>
        <w:numPr>
          <w:ilvl w:val="0"/>
          <w:numId w:val="1"/>
        </w:numPr>
        <w:spacing w:after="60"/>
      </w:pPr>
      <w:r>
        <w:rPr>
          <w:color w:val="1F2937"/>
          <w:sz w:val="22"/>
          <w:szCs w:val="22"/>
        </w:rPr>
        <w:t xml:space="preserve">Primary region Azure South Africa North (Johannesburg) for data sovereignty.</w:t>
      </w:r>
    </w:p>
    <w:p>
      <w:pPr>
        <w:pStyle w:val="ListParagraph"/>
        <w:numPr>
          <w:ilvl w:val="0"/>
          <w:numId w:val="1"/>
        </w:numPr>
        <w:spacing w:after="60"/>
      </w:pPr>
      <w:r>
        <w:rPr>
          <w:color w:val="1F2937"/>
          <w:sz w:val="22"/>
          <w:szCs w:val="22"/>
        </w:rPr>
        <w:t xml:space="preserve">Resource segregation by environment and workload using subscriptions and resource groups.</w:t>
      </w:r>
    </w:p>
    <w:p>
      <w:pPr>
        <w:pStyle w:val="ListParagraph"/>
        <w:numPr>
          <w:ilvl w:val="0"/>
          <w:numId w:val="1"/>
        </w:numPr>
        <w:spacing w:after="60"/>
      </w:pPr>
      <w:r>
        <w:rPr>
          <w:color w:val="1F2937"/>
          <w:sz w:val="22"/>
          <w:szCs w:val="22"/>
        </w:rPr>
        <w:t xml:space="preserve">Infrastructure as Code (Bicep or Terraform) for repeatable, auditable provisioning.</w:t>
      </w:r>
    </w:p>
    <w:p>
      <w:pPr>
        <w:pStyle w:val="ListParagraph"/>
        <w:numPr>
          <w:ilvl w:val="0"/>
          <w:numId w:val="1"/>
        </w:numPr>
        <w:spacing w:after="60"/>
      </w:pPr>
      <w:r>
        <w:rPr>
          <w:color w:val="1F2937"/>
          <w:sz w:val="22"/>
          <w:szCs w:val="22"/>
        </w:rPr>
        <w:t xml:space="preserve">Private networking by default — virtual networks, network security groups, Azure Firewall and private endpoints.</w:t>
      </w:r>
    </w:p>
    <w:p>
      <w:pPr>
        <w:spacing w:after="80" w:before="160"/>
      </w:pPr>
      <w:r>
        <w:rPr>
          <w:b/>
          <w:bCs/>
          <w:color w:val="1F2937"/>
          <w:sz w:val="24"/>
          <w:szCs w:val="24"/>
        </w:rPr>
        <w:t xml:space="preserve">9.2 Application Architecture</w:t>
      </w:r>
    </w:p>
    <w:p>
      <w:pPr>
        <w:pStyle w:val="ListParagraph"/>
        <w:numPr>
          <w:ilvl w:val="0"/>
          <w:numId w:val="1"/>
        </w:numPr>
        <w:spacing w:after="60"/>
      </w:pPr>
      <w:r>
        <w:rPr>
          <w:color w:val="1F2937"/>
          <w:sz w:val="22"/>
          <w:szCs w:val="22"/>
        </w:rPr>
        <w:t xml:space="preserve">Composable microservices packaged as containers on AKS or Azure App Service.</w:t>
      </w:r>
    </w:p>
    <w:p>
      <w:pPr>
        <w:pStyle w:val="ListParagraph"/>
        <w:numPr>
          <w:ilvl w:val="0"/>
          <w:numId w:val="1"/>
        </w:numPr>
        <w:spacing w:after="60"/>
      </w:pPr>
      <w:r>
        <w:rPr>
          <w:color w:val="1F2937"/>
          <w:sz w:val="22"/>
          <w:szCs w:val="22"/>
        </w:rPr>
        <w:t xml:space="preserve">Stateless services that scale horizontally behind Azure Front Door and API Management.</w:t>
      </w:r>
    </w:p>
    <w:p>
      <w:pPr>
        <w:pStyle w:val="ListParagraph"/>
        <w:numPr>
          <w:ilvl w:val="0"/>
          <w:numId w:val="1"/>
        </w:numPr>
        <w:spacing w:after="60"/>
      </w:pPr>
      <w:r>
        <w:rPr>
          <w:color w:val="1F2937"/>
          <w:sz w:val="22"/>
          <w:szCs w:val="22"/>
        </w:rPr>
        <w:t xml:space="preserve">API-first design with versioned, documented contracts between services and channels.</w:t>
      </w:r>
    </w:p>
    <w:p>
      <w:pPr>
        <w:pStyle w:val="ListParagraph"/>
        <w:numPr>
          <w:ilvl w:val="0"/>
          <w:numId w:val="1"/>
        </w:numPr>
        <w:spacing w:after="60"/>
      </w:pPr>
      <w:r>
        <w:rPr>
          <w:color w:val="1F2937"/>
          <w:sz w:val="22"/>
          <w:szCs w:val="22"/>
        </w:rPr>
        <w:t xml:space="preserve">Event-driven ingestion for MV90 and other feeds, decoupled via queues for resilience.</w:t>
      </w:r>
    </w:p>
    <w:p>
      <w:pPr>
        <w:pStyle w:val="ListParagraph"/>
        <w:numPr>
          <w:ilvl w:val="0"/>
          <w:numId w:val="1"/>
        </w:numPr>
        <w:spacing w:after="60"/>
      </w:pPr>
      <w:r>
        <w:rPr>
          <w:color w:val="1F2937"/>
          <w:sz w:val="22"/>
          <w:szCs w:val="22"/>
        </w:rPr>
        <w:t xml:space="preserve">Autoscaling driven by demand, with graceful degradation under load.</w:t>
      </w:r>
    </w:p>
    <w:p>
      <w:pPr>
        <w:spacing w:after="80" w:before="160"/>
      </w:pPr>
      <w:r>
        <w:rPr>
          <w:b/>
          <w:bCs/>
          <w:color w:val="1F2937"/>
          <w:sz w:val="24"/>
          <w:szCs w:val="24"/>
        </w:rPr>
        <w:t xml:space="preserve">9.3 Data Architecture</w:t>
      </w:r>
    </w:p>
    <w:p>
      <w:pPr>
        <w:pStyle w:val="ListParagraph"/>
        <w:numPr>
          <w:ilvl w:val="0"/>
          <w:numId w:val="1"/>
        </w:numPr>
        <w:spacing w:after="60"/>
      </w:pPr>
      <w:r>
        <w:rPr>
          <w:color w:val="1F2937"/>
          <w:sz w:val="22"/>
          <w:szCs w:val="22"/>
        </w:rPr>
        <w:t xml:space="preserve">Azure SQL (Business Critical, zone-redundant) as the operational store with Transparent Data Encryption.</w:t>
      </w:r>
    </w:p>
    <w:p>
      <w:pPr>
        <w:pStyle w:val="ListParagraph"/>
        <w:numPr>
          <w:ilvl w:val="0"/>
          <w:numId w:val="1"/>
        </w:numPr>
        <w:spacing w:after="60"/>
      </w:pPr>
      <w:r>
        <w:rPr>
          <w:color w:val="1F2937"/>
          <w:sz w:val="22"/>
          <w:szCs w:val="22"/>
        </w:rPr>
        <w:t xml:space="preserve">Separation of operational data from reporting/analytics data to protect transactional performance.</w:t>
      </w:r>
    </w:p>
    <w:p>
      <w:pPr>
        <w:pStyle w:val="ListParagraph"/>
        <w:numPr>
          <w:ilvl w:val="0"/>
          <w:numId w:val="1"/>
        </w:numPr>
        <w:spacing w:after="60"/>
      </w:pPr>
      <w:r>
        <w:rPr>
          <w:color w:val="1F2937"/>
          <w:sz w:val="22"/>
          <w:szCs w:val="22"/>
        </w:rPr>
        <w:t xml:space="preserve">Azure Storage/Blob for the integration store, imported files and generated report extracts.</w:t>
      </w:r>
    </w:p>
    <w:p>
      <w:pPr>
        <w:pStyle w:val="ListParagraph"/>
        <w:numPr>
          <w:ilvl w:val="0"/>
          <w:numId w:val="1"/>
        </w:numPr>
        <w:spacing w:after="60"/>
      </w:pPr>
      <w:r>
        <w:rPr>
          <w:color w:val="1F2937"/>
          <w:sz w:val="22"/>
          <w:szCs w:val="22"/>
        </w:rPr>
        <w:t xml:space="preserve">Azure Cache for sessions, rate-limiting state and hot lookups.</w:t>
      </w:r>
    </w:p>
    <w:p>
      <w:pPr>
        <w:pStyle w:val="ListParagraph"/>
        <w:numPr>
          <w:ilvl w:val="0"/>
          <w:numId w:val="1"/>
        </w:numPr>
        <w:spacing w:after="60"/>
      </w:pPr>
      <w:r>
        <w:rPr>
          <w:color w:val="1F2937"/>
          <w:sz w:val="22"/>
          <w:szCs w:val="22"/>
        </w:rPr>
        <w:t xml:space="preserve">Defined retention, archiving and point-in-time restore aligned to Client policy.</w:t>
      </w:r>
    </w:p>
    <w:p>
      <w:pPr>
        <w:spacing w:after="80" w:before="160"/>
      </w:pPr>
      <w:r>
        <w:rPr>
          <w:b/>
          <w:bCs/>
          <w:color w:val="1F2937"/>
          <w:sz w:val="24"/>
          <w:szCs w:val="24"/>
        </w:rPr>
        <w:t xml:space="preserve">9.4 Integration Architecture</w:t>
      </w:r>
    </w:p>
    <w:p>
      <w:pPr>
        <w:spacing w:after="120"/>
      </w:pPr>
      <w:r>
        <w:rPr>
          <w:color w:val="1F2937"/>
          <w:sz w:val="22"/>
          <w:szCs w:val="22"/>
        </w:rPr>
        <w:t xml:space="preserve">FBM integrates with upstream systems of record through a managed integration layer using a canonical data model, so that source-system change is absorbed by adapters rather than propagated into the core.</w:t>
      </w:r>
    </w:p>
    <w:p>
      <w:pPr>
        <w:pStyle w:val="ListParagraph"/>
        <w:numPr>
          <w:ilvl w:val="0"/>
          <w:numId w:val="1"/>
        </w:numPr>
        <w:spacing w:after="60"/>
      </w:pPr>
      <w:r>
        <w:rPr>
          <w:color w:val="1F2937"/>
          <w:sz w:val="22"/>
          <w:szCs w:val="22"/>
        </w:rPr>
        <w:t xml:space="preserve">API Management / Enterprise Service Bus (iPaaS) mediates all inbound and outbound integration.</w:t>
      </w:r>
    </w:p>
    <w:p>
      <w:pPr>
        <w:pStyle w:val="ListParagraph"/>
        <w:numPr>
          <w:ilvl w:val="0"/>
          <w:numId w:val="1"/>
        </w:numPr>
        <w:spacing w:after="60"/>
      </w:pPr>
      <w:r>
        <w:rPr>
          <w:color w:val="1F2937"/>
          <w:sz w:val="22"/>
          <w:szCs w:val="22"/>
        </w:rPr>
        <w:t xml:space="preserve">Source adapters for MV90 stats meters, CC&amp;B billing, Works Management (e.g. MAXIMO) and CNL/GIS.</w:t>
      </w:r>
    </w:p>
    <w:p>
      <w:pPr>
        <w:pStyle w:val="ListParagraph"/>
        <w:numPr>
          <w:ilvl w:val="0"/>
          <w:numId w:val="1"/>
        </w:numPr>
        <w:spacing w:after="60"/>
      </w:pPr>
      <w:r>
        <w:rPr>
          <w:color w:val="1F2937"/>
          <w:sz w:val="22"/>
          <w:szCs w:val="22"/>
        </w:rPr>
        <w:t xml:space="preserve">Batch and near-real-time patterns with idempotent processing and dead-letter queues.</w:t>
      </w:r>
    </w:p>
    <w:p>
      <w:pPr>
        <w:pStyle w:val="ListParagraph"/>
        <w:numPr>
          <w:ilvl w:val="0"/>
          <w:numId w:val="1"/>
        </w:numPr>
        <w:spacing w:after="60"/>
      </w:pPr>
      <w:r>
        <w:rPr>
          <w:color w:val="1F2937"/>
          <w:sz w:val="22"/>
          <w:szCs w:val="22"/>
        </w:rPr>
        <w:t xml:space="preserve">Outbound publication to BI/corporate reporting and the Losses Reduction Potential tool.</w:t>
      </w:r>
    </w:p>
    <w:p>
      <w:pPr>
        <w:pStyle w:val="ListParagraph"/>
        <w:numPr>
          <w:ilvl w:val="0"/>
          <w:numId w:val="1"/>
        </w:numPr>
        <w:spacing w:after="60"/>
      </w:pPr>
      <w:r>
        <w:rPr>
          <w:color w:val="1F2937"/>
          <w:sz w:val="22"/>
          <w:szCs w:val="22"/>
        </w:rPr>
        <w:t xml:space="preserve">Correlation identifiers propagated across every hop for end-to-end traceability.</w:t>
      </w:r>
    </w:p>
    <w:p>
      <w:pPr>
        <w:spacing w:after="40" w:before="16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6B7280"/>
          <w:sz w:val="16"/>
          <w:szCs w:val="16"/>
        </w:rPr>
        <w:t xml:space="preserve">Figure 9.2 — Integration architecture</w:t>
      </w:r>
    </w:p>
    <w:p>
      <w:pPr>
        <w:spacing w:after="80" w:before="160"/>
      </w:pPr>
      <w:r>
        <w:rPr>
          <w:b/>
          <w:bCs/>
          <w:color w:val="1F2937"/>
          <w:sz w:val="24"/>
          <w:szCs w:val="24"/>
        </w:rPr>
        <w:t xml:space="preserve">9.5 Scalability, Availability and Disaster Recovery</w:t>
      </w:r>
    </w:p>
    <w:p>
      <w:pPr>
        <w:pStyle w:val="ListParagraph"/>
        <w:numPr>
          <w:ilvl w:val="0"/>
          <w:numId w:val="1"/>
        </w:numPr>
        <w:spacing w:after="60"/>
      </w:pPr>
      <w:r>
        <w:rPr>
          <w:color w:val="1F2937"/>
          <w:sz w:val="22"/>
          <w:szCs w:val="22"/>
        </w:rPr>
        <w:t xml:space="preserve">Horizontal autoscaling of stateless services and zone-redundant data services for high availability.</w:t>
      </w:r>
    </w:p>
    <w:p>
      <w:pPr>
        <w:pStyle w:val="ListParagraph"/>
        <w:numPr>
          <w:ilvl w:val="0"/>
          <w:numId w:val="1"/>
        </w:numPr>
        <w:spacing w:after="60"/>
      </w:pPr>
      <w:r>
        <w:rPr>
          <w:color w:val="1F2937"/>
          <w:sz w:val="22"/>
          <w:szCs w:val="22"/>
        </w:rPr>
        <w:t xml:space="preserve">Target availability, RPO and RTO to be agreed and underpinned by the SLA.</w:t>
      </w:r>
    </w:p>
    <w:p>
      <w:pPr>
        <w:pStyle w:val="ListParagraph"/>
        <w:numPr>
          <w:ilvl w:val="0"/>
          <w:numId w:val="1"/>
        </w:numPr>
        <w:spacing w:after="60"/>
      </w:pPr>
      <w:r>
        <w:rPr>
          <w:color w:val="1F2937"/>
          <w:sz w:val="22"/>
          <w:szCs w:val="22"/>
        </w:rPr>
        <w:t xml:space="preserve">Geo-replication to the paired region (Azure South Africa West) for disaster recovery.</w:t>
      </w:r>
    </w:p>
    <w:p>
      <w:pPr>
        <w:pStyle w:val="ListParagraph"/>
        <w:numPr>
          <w:ilvl w:val="0"/>
          <w:numId w:val="1"/>
        </w:numPr>
        <w:spacing w:after="60"/>
      </w:pPr>
      <w:r>
        <w:rPr>
          <w:color w:val="1F2937"/>
          <w:sz w:val="22"/>
          <w:szCs w:val="22"/>
        </w:rPr>
        <w:t xml:space="preserve">Automated, encrypted backups with regular restore testing.</w:t>
      </w:r>
    </w:p>
    <w:p>
      <w:pPr>
        <w:pStyle w:val="ListParagraph"/>
        <w:numPr>
          <w:ilvl w:val="0"/>
          <w:numId w:val="1"/>
        </w:numPr>
        <w:spacing w:after="60"/>
      </w:pPr>
      <w:r>
        <w:rPr>
          <w:color w:val="1F2937"/>
          <w:sz w:val="22"/>
          <w:szCs w:val="22"/>
        </w:rPr>
        <w:t xml:space="preserve">A documented, regularly tested Disaster Recovery Plan (DRP).</w:t>
      </w:r>
    </w:p>
    <w:p>
      <w:pPr>
        <w:spacing w:after="80" w:before="160"/>
      </w:pPr>
      <w:r>
        <w:rPr>
          <w:b/>
          <w:bCs/>
          <w:color w:val="1F2937"/>
          <w:sz w:val="24"/>
          <w:szCs w:val="24"/>
        </w:rPr>
        <w:t xml:space="preserve">9.6 Environments and DevOps</w:t>
      </w:r>
    </w:p>
    <w:p>
      <w:pPr>
        <w:spacing w:after="120"/>
      </w:pPr>
      <w:r>
        <w:rPr>
          <w:color w:val="1F2937"/>
          <w:sz w:val="22"/>
          <w:szCs w:val="22"/>
        </w:rPr>
        <w:t xml:space="preserve">Identical, isolated environments are promoted through an automated pipeline with quality and security gates, giving predictable, auditable releases.</w:t>
      </w:r>
    </w:p>
    <w:p>
      <w:pPr>
        <w:pStyle w:val="ListParagraph"/>
        <w:numPr>
          <w:ilvl w:val="0"/>
          <w:numId w:val="1"/>
        </w:numPr>
        <w:spacing w:after="60"/>
      </w:pPr>
      <w:r>
        <w:rPr>
          <w:color w:val="1F2937"/>
          <w:sz w:val="22"/>
          <w:szCs w:val="22"/>
        </w:rPr>
        <w:t xml:space="preserve">Separate DEV, TEST/UAT, staging and PROD environments provisioned from the same IaC.</w:t>
      </w:r>
    </w:p>
    <w:p>
      <w:pPr>
        <w:pStyle w:val="ListParagraph"/>
        <w:numPr>
          <w:ilvl w:val="0"/>
          <w:numId w:val="1"/>
        </w:numPr>
        <w:spacing w:after="60"/>
      </w:pPr>
      <w:r>
        <w:rPr>
          <w:color w:val="1F2937"/>
          <w:sz w:val="22"/>
          <w:szCs w:val="22"/>
        </w:rPr>
        <w:t xml:space="preserve">CI/CD via Azure DevOps or GitHub Actions with build, automated test, SAST/DAST and release gates.</w:t>
      </w:r>
    </w:p>
    <w:p>
      <w:pPr>
        <w:pStyle w:val="ListParagraph"/>
        <w:numPr>
          <w:ilvl w:val="0"/>
          <w:numId w:val="1"/>
        </w:numPr>
        <w:spacing w:after="60"/>
      </w:pPr>
      <w:r>
        <w:rPr>
          <w:color w:val="1F2937"/>
          <w:sz w:val="22"/>
          <w:szCs w:val="22"/>
        </w:rPr>
        <w:t xml:space="preserve">Manual approval gate before production promotion, with full release evidence.</w:t>
      </w:r>
    </w:p>
    <w:p>
      <w:pPr>
        <w:pStyle w:val="ListParagraph"/>
        <w:numPr>
          <w:ilvl w:val="0"/>
          <w:numId w:val="1"/>
        </w:numPr>
        <w:spacing w:after="60"/>
      </w:pPr>
      <w:r>
        <w:rPr>
          <w:color w:val="1F2937"/>
          <w:sz w:val="22"/>
          <w:szCs w:val="22"/>
        </w:rPr>
        <w:t xml:space="preserve">Blue-green or canary release strategy to minimise deployment risk.</w:t>
      </w:r>
    </w:p>
    <w:p>
      <w:pPr>
        <w:pStyle w:val="ListParagraph"/>
        <w:numPr>
          <w:ilvl w:val="0"/>
          <w:numId w:val="1"/>
        </w:numPr>
        <w:spacing w:after="60"/>
      </w:pPr>
      <w:r>
        <w:rPr>
          <w:color w:val="1F2937"/>
          <w:sz w:val="22"/>
          <w:szCs w:val="22"/>
        </w:rPr>
        <w:t xml:space="preserve">Observability (metrics, logs, traces) wired in from day one.</w:t>
      </w:r>
    </w:p>
    <w:p>
      <w:pPr>
        <w:spacing w:after="40" w:before="16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i/>
          <w:iCs/>
          <w:color w:val="6B7280"/>
          <w:sz w:val="16"/>
          <w:szCs w:val="16"/>
        </w:rPr>
        <w:t xml:space="preserve">Figure 9.3 — Environments, CI/CD &amp; DR</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This section presents a fully costed commercial estimate aligned to the structure of the tender's Pricing Schedule (Annexure L): a software/subscription licence line, itemised implementation work-packages, a professional-services rate card, support &amp; maintenance, a five-year total cost of ownership and a milestone-based payment plan. All figures are in South African Rand and exclude VAT unless stated otherwise.</w:t>
      </w:r>
    </w:p>
    <w:p>
      <w:pPr>
        <w:spacing w:after="140"/>
      </w:pPr>
      <w:r>
        <w:rPr>
          <w:color w:val="1F2937"/>
          <w:sz w:val="22"/>
          <w:szCs w:val="22"/>
        </w:rPr>
        <w:t xml:space="preserve">The estimate assumes an 18-month implementation of the business requirements followed by managed support &amp; maintenance to the five-year (60-month) mark, delivered by a standard blended team of approximately 8-10 resources. Every currency figure is derived from the rate card and the effort plan below, so the totals reconcile across all tables.</w:t>
      </w:r>
    </w:p>
    <w:p>
      <w:pPr>
        <w:spacing w:after="140" w:before="140"/>
      </w:pPr>
      <w:r>
        <w:rPr>
          <w:i/>
          <w:iCs/>
          <w:color w:val="6B7280"/>
          <w:sz w:val="20"/>
          <w:szCs w:val="20"/>
        </w:rPr>
        <w:t xml:space="preserve">Commercial validity period, price escalation, retention, performance guarantees and any exchange-rate assumptions must still be completed exactly as required by the tender conditions before the figures are transferred to the official Annexure L pricing forms. All estimates are benchmark-based and subject to T2 Technologies' final review.</w:t>
      </w:r>
    </w:p>
    <w:p>
      <w:pPr>
        <w:spacing w:after="80" w:before="160"/>
      </w:pPr>
      <w:r>
        <w:rPr>
          <w:b/>
          <w:bCs/>
          <w:color w:val="1F2937"/>
          <w:sz w:val="24"/>
          <w:szCs w:val="24"/>
        </w:rPr>
        <w:t xml:space="preserve">17.1 Pricing Basis and Assumptions</w:t>
      </w:r>
    </w:p>
    <w:p>
      <w:pPr>
        <w:pStyle w:val="ListParagraph"/>
        <w:numPr>
          <w:ilvl w:val="0"/>
          <w:numId w:val="1"/>
        </w:numPr>
        <w:spacing w:after="60"/>
      </w:pPr>
      <w:r>
        <w:rPr>
          <w:color w:val="1F2937"/>
          <w:sz w:val="22"/>
          <w:szCs w:val="22"/>
        </w:rPr>
        <w:t xml:space="preserve">All rates are South African enterprise-IT top-of-band (upper-quartile) benchmark rates (2026), quoted per hour and per day, and must be confirmed against T2 Technologies' actual rate card before submission.</w:t>
      </w:r>
    </w:p>
    <w:p>
      <w:pPr>
        <w:pStyle w:val="ListParagraph"/>
        <w:numPr>
          <w:ilvl w:val="0"/>
          <w:numId w:val="1"/>
        </w:numPr>
        <w:spacing w:after="60"/>
      </w:pPr>
      <w:r>
        <w:rPr>
          <w:color w:val="1F2937"/>
          <w:sz w:val="22"/>
          <w:szCs w:val="22"/>
        </w:rPr>
        <w:t xml:space="preserve">Prices exclude VAT; VAT at 15% is shown separately in the five-year summary.</w:t>
      </w:r>
    </w:p>
    <w:p>
      <w:pPr>
        <w:pStyle w:val="ListParagraph"/>
        <w:numPr>
          <w:ilvl w:val="0"/>
          <w:numId w:val="1"/>
        </w:numPr>
        <w:spacing w:after="60"/>
      </w:pPr>
      <w:r>
        <w:rPr>
          <w:color w:val="1F2937"/>
          <w:sz w:val="22"/>
          <w:szCs w:val="22"/>
        </w:rPr>
        <w:t xml:space="preserve">Software is licensed as T2's proprietary SaaS platform on a named-user basis: 20 users at R 3 600 per user per month.</w:t>
      </w:r>
    </w:p>
    <w:p>
      <w:pPr>
        <w:pStyle w:val="ListParagraph"/>
        <w:numPr>
          <w:ilvl w:val="0"/>
          <w:numId w:val="1"/>
        </w:numPr>
        <w:spacing w:after="60"/>
      </w:pPr>
      <w:r>
        <w:rPr>
          <w:color w:val="1F2937"/>
          <w:sz w:val="22"/>
          <w:szCs w:val="22"/>
        </w:rPr>
        <w:t xml:space="preserve">The implementation is a fixed-price engagement invoiced against the delivery milestones in 17.7; effort is shown for transparency and change-control.</w:t>
      </w:r>
    </w:p>
    <w:p>
      <w:pPr>
        <w:pStyle w:val="ListParagraph"/>
        <w:numPr>
          <w:ilvl w:val="0"/>
          <w:numId w:val="1"/>
        </w:numPr>
        <w:spacing w:after="60"/>
      </w:pPr>
      <w:r>
        <w:rPr>
          <w:color w:val="1F2937"/>
          <w:sz w:val="22"/>
          <w:szCs w:val="22"/>
        </w:rPr>
        <w:t xml:space="preserve">Support &amp; maintenance begins at production go-live (a three-month warranty is included in Stabilisation) and runs to the five-year mark.</w:t>
      </w:r>
    </w:p>
    <w:p>
      <w:pPr>
        <w:pStyle w:val="ListParagraph"/>
        <w:numPr>
          <w:ilvl w:val="0"/>
          <w:numId w:val="1"/>
        </w:numPr>
        <w:spacing w:after="60"/>
      </w:pPr>
      <w:r>
        <w:rPr>
          <w:color w:val="1F2937"/>
          <w:sz w:val="22"/>
          <w:szCs w:val="22"/>
        </w:rPr>
        <w:t xml:space="preserve">Third-party cloud/hosting, network connectivity, non-standard integrations, hardware and travel/disbursements outside Gauteng are excluded and quoted at cost on confirmation.</w:t>
      </w:r>
    </w:p>
    <w:p>
      <w:pPr>
        <w:spacing w:after="80" w:before="160"/>
      </w:pPr>
      <w:r>
        <w:rPr>
          <w:b/>
          <w:bCs/>
          <w:color w:val="1F2937"/>
          <w:sz w:val="24"/>
          <w:szCs w:val="24"/>
        </w:rPr>
        <w:t xml:space="preserve">17.2 Software / Subscription Licence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Qty</w:t>
            </w:r>
          </w:p>
        </w:tc>
        <w:tc>
          <w:tcPr>
            <w:shd w:fill="004898" w:val="clear"/>
            <w:tcMar>
              <w:top w:type="dxa" w:w="60"/>
              <w:left w:type="dxa" w:w="80"/>
              <w:bottom w:type="dxa" w:w="60"/>
              <w:right w:type="dxa" w:w="80"/>
            </w:tcMar>
          </w:tcPr>
          <w:p>
            <w:r>
              <w:rPr>
                <w:b/>
                <w:bCs/>
                <w:color w:val="FFFFFF"/>
                <w:sz w:val="20"/>
                <w:szCs w:val="20"/>
              </w:rPr>
              <w:t xml:space="preserve">Unit 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5-Year (excl. VAT)</w:t>
            </w:r>
          </w:p>
        </w:tc>
      </w:tr>
      <w:tr>
        <w:tc>
          <w:tcPr>
            <w:tcMar>
              <w:top w:type="dxa" w:w="50"/>
              <w:left w:type="dxa" w:w="80"/>
              <w:bottom w:type="dxa" w:w="50"/>
              <w:right w:type="dxa" w:w="80"/>
            </w:tcMar>
          </w:tcPr>
          <w:p>
            <w:r>
              <w:rPr>
                <w:color w:val="1F2937"/>
                <w:sz w:val="19"/>
                <w:szCs w:val="19"/>
              </w:rPr>
              <w:t xml:space="preserve">T2 FBM SaaS — named-user licence</w:t>
            </w:r>
          </w:p>
        </w:tc>
        <w:tc>
          <w:tcPr>
            <w:tcMar>
              <w:top w:type="dxa" w:w="50"/>
              <w:left w:type="dxa" w:w="80"/>
              <w:bottom w:type="dxa" w:w="50"/>
              <w:right w:type="dxa" w:w="80"/>
            </w:tcMar>
          </w:tcPr>
          <w:p>
            <w:r>
              <w:rPr>
                <w:color w:val="1F2937"/>
                <w:sz w:val="19"/>
                <w:szCs w:val="19"/>
              </w:rPr>
              <w:t xml:space="preserve">20</w:t>
            </w:r>
          </w:p>
        </w:tc>
        <w:tc>
          <w:tcPr>
            <w:tcMar>
              <w:top w:type="dxa" w:w="50"/>
              <w:left w:type="dxa" w:w="80"/>
              <w:bottom w:type="dxa" w:w="50"/>
              <w:right w:type="dxa" w:w="80"/>
            </w:tcMar>
          </w:tcPr>
          <w:p>
            <w:r>
              <w:rPr>
                <w:color w:val="1F2937"/>
                <w:sz w:val="19"/>
                <w:szCs w:val="19"/>
              </w:rPr>
              <w:t xml:space="preserve">R 3 600 / user / month</w:t>
            </w:r>
          </w:p>
        </w:tc>
        <w:tc>
          <w:tcPr>
            <w:tcMar>
              <w:top w:type="dxa" w:w="50"/>
              <w:left w:type="dxa" w:w="80"/>
              <w:bottom w:type="dxa" w:w="50"/>
              <w:right w:type="dxa" w:w="80"/>
            </w:tcMar>
          </w:tcPr>
          <w:p>
            <w:r>
              <w:rPr>
                <w:color w:val="1F2937"/>
                <w:sz w:val="19"/>
                <w:szCs w:val="19"/>
              </w:rPr>
              <w:t xml:space="preserve">R 864 000</w:t>
            </w:r>
          </w:p>
        </w:tc>
        <w:tc>
          <w:tcPr>
            <w:tcMar>
              <w:top w:type="dxa" w:w="50"/>
              <w:left w:type="dxa" w:w="80"/>
              <w:bottom w:type="dxa" w:w="50"/>
              <w:right w:type="dxa" w:w="80"/>
            </w:tcMar>
          </w:tcPr>
          <w:p>
            <w:r>
              <w:rPr>
                <w:color w:val="1F2937"/>
                <w:sz w:val="19"/>
                <w:szCs w:val="19"/>
              </w:rPr>
              <w:t xml:space="preserve">R 4 320 000</w:t>
            </w:r>
          </w:p>
        </w:tc>
      </w:tr>
    </w:tbl>
    <w:p>
      <w:pPr>
        <w:spacing w:after="80" w:before="160"/>
      </w:pPr>
      <w:r>
        <w:rPr>
          <w:b/>
          <w:bCs/>
          <w:color w:val="1F2937"/>
          <w:sz w:val="24"/>
          <w:szCs w:val="24"/>
        </w:rPr>
        <w:t xml:space="preserve">17.3 Professional Services Rate Card</w:t>
      </w:r>
    </w:p>
    <w:p>
      <w:pPr>
        <w:spacing w:after="120"/>
      </w:pPr>
      <w:r>
        <w:rPr>
          <w:color w:val="1F2937"/>
          <w:sz w:val="22"/>
          <w:szCs w:val="22"/>
        </w:rPr>
        <w:t xml:space="preserve">The following top-of-band (upper-quartile) South African benchmark rates underpin the implementation and support pricing. Day-rates are calculated at an 8-hour billable day.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Role</w:t>
            </w:r>
          </w:p>
        </w:tc>
        <w:tc>
          <w:tcPr>
            <w:shd w:fill="004898" w:val="clear"/>
            <w:tcMar>
              <w:top w:type="dxa" w:w="60"/>
              <w:left w:type="dxa" w:w="80"/>
              <w:bottom w:type="dxa" w:w="60"/>
              <w:right w:type="dxa" w:w="80"/>
            </w:tcMar>
          </w:tcPr>
          <w:p>
            <w:r>
              <w:rPr>
                <w:b/>
                <w:bCs/>
                <w:color w:val="FFFFFF"/>
                <w:sz w:val="20"/>
                <w:szCs w:val="20"/>
              </w:rPr>
              <w:t xml:space="preserve">Hourly (excl. VAT)</w:t>
            </w:r>
          </w:p>
        </w:tc>
        <w:tc>
          <w:tcPr>
            <w:shd w:fill="004898" w:val="clear"/>
            <w:tcMar>
              <w:top w:type="dxa" w:w="60"/>
              <w:left w:type="dxa" w:w="80"/>
              <w:bottom w:type="dxa" w:w="60"/>
              <w:right w:type="dxa" w:w="80"/>
            </w:tcMar>
          </w:tcPr>
          <w:p>
            <w:r>
              <w:rPr>
                <w:b/>
                <w:bCs/>
                <w:color w:val="FFFFFF"/>
                <w:sz w:val="20"/>
                <w:szCs w:val="20"/>
              </w:rPr>
              <w:t xml:space="preserve">Day Rate (excl. VAT)</w:t>
            </w:r>
          </w:p>
        </w:tc>
      </w:tr>
      <w:tr>
        <w:tc>
          <w:tcPr>
            <w:tcMar>
              <w:top w:type="dxa" w:w="50"/>
              <w:left w:type="dxa" w:w="80"/>
              <w:bottom w:type="dxa" w:w="50"/>
              <w:right w:type="dxa" w:w="80"/>
            </w:tcMar>
          </w:tcPr>
          <w:p>
            <w:r>
              <w:rPr>
                <w:color w:val="1F2937"/>
                <w:sz w:val="19"/>
                <w:szCs w:val="19"/>
              </w:rPr>
              <w:t xml:space="preserve">Programme / Project Manager</w:t>
            </w:r>
          </w:p>
        </w:tc>
        <w:tc>
          <w:tcPr>
            <w:tcMar>
              <w:top w:type="dxa" w:w="50"/>
              <w:left w:type="dxa" w:w="80"/>
              <w:bottom w:type="dxa" w:w="50"/>
              <w:right w:type="dxa" w:w="80"/>
            </w:tcMar>
          </w:tcPr>
          <w:p>
            <w:r>
              <w:rPr>
                <w:color w:val="1F2937"/>
                <w:sz w:val="19"/>
                <w:szCs w:val="19"/>
              </w:rPr>
              <w:t xml:space="preserve">R 1 500</w:t>
            </w:r>
          </w:p>
        </w:tc>
        <w:tc>
          <w:tcPr>
            <w:tcMar>
              <w:top w:type="dxa" w:w="50"/>
              <w:left w:type="dxa" w:w="80"/>
              <w:bottom w:type="dxa" w:w="50"/>
              <w:right w:type="dxa" w:w="80"/>
            </w:tcMar>
          </w:tcPr>
          <w:p>
            <w:r>
              <w:rPr>
                <w:color w:val="1F2937"/>
                <w:sz w:val="19"/>
                <w:szCs w:val="19"/>
              </w:rPr>
              <w:t xml:space="preserve">R 12 000</w:t>
            </w:r>
          </w:p>
        </w:tc>
      </w:tr>
      <w:tr>
        <w:tc>
          <w:tcPr>
            <w:shd w:fill="F3F4F6" w:val="clear"/>
            <w:tcMar>
              <w:top w:type="dxa" w:w="50"/>
              <w:left w:type="dxa" w:w="80"/>
              <w:bottom w:type="dxa" w:w="50"/>
              <w:right w:type="dxa" w:w="80"/>
            </w:tcMar>
          </w:tcPr>
          <w:p>
            <w:r>
              <w:rPr>
                <w:color w:val="1F2937"/>
                <w:sz w:val="19"/>
                <w:szCs w:val="19"/>
              </w:rPr>
              <w:t xml:space="preserve">Solution Architect</w:t>
            </w:r>
          </w:p>
        </w:tc>
        <w:tc>
          <w:tcPr>
            <w:shd w:fill="F3F4F6" w:val="clear"/>
            <w:tcMar>
              <w:top w:type="dxa" w:w="50"/>
              <w:left w:type="dxa" w:w="80"/>
              <w:bottom w:type="dxa" w:w="50"/>
              <w:right w:type="dxa" w:w="80"/>
            </w:tcMar>
          </w:tcPr>
          <w:p>
            <w:r>
              <w:rPr>
                <w:color w:val="1F2937"/>
                <w:sz w:val="19"/>
                <w:szCs w:val="19"/>
              </w:rPr>
              <w:t xml:space="preserve">R 1 850</w:t>
            </w:r>
          </w:p>
        </w:tc>
        <w:tc>
          <w:tcPr>
            <w:shd w:fill="F3F4F6" w:val="clear"/>
            <w:tcMar>
              <w:top w:type="dxa" w:w="50"/>
              <w:left w:type="dxa" w:w="80"/>
              <w:bottom w:type="dxa" w:w="50"/>
              <w:right w:type="dxa" w:w="80"/>
            </w:tcMar>
          </w:tcPr>
          <w:p>
            <w:r>
              <w:rPr>
                <w:color w:val="1F2937"/>
                <w:sz w:val="19"/>
                <w:szCs w:val="19"/>
              </w:rPr>
              <w:t xml:space="preserve">R 14 800</w:t>
            </w:r>
          </w:p>
        </w:tc>
      </w:tr>
      <w:tr>
        <w:tc>
          <w:tcPr>
            <w:tcMar>
              <w:top w:type="dxa" w:w="50"/>
              <w:left w:type="dxa" w:w="80"/>
              <w:bottom w:type="dxa" w:w="50"/>
              <w:right w:type="dxa" w:w="80"/>
            </w:tcMar>
          </w:tcPr>
          <w:p>
            <w:r>
              <w:rPr>
                <w:color w:val="1F2937"/>
                <w:sz w:val="19"/>
                <w:szCs w:val="19"/>
              </w:rPr>
              <w:t xml:space="preserve">Business Analyst</w:t>
            </w:r>
          </w:p>
        </w:tc>
        <w:tc>
          <w:tcPr>
            <w:tcMar>
              <w:top w:type="dxa" w:w="50"/>
              <w:left w:type="dxa" w:w="80"/>
              <w:bottom w:type="dxa" w:w="50"/>
              <w:right w:type="dxa" w:w="80"/>
            </w:tcMar>
          </w:tcPr>
          <w:p>
            <w:r>
              <w:rPr>
                <w:color w:val="1F2937"/>
                <w:sz w:val="19"/>
                <w:szCs w:val="19"/>
              </w:rPr>
              <w:t xml:space="preserve">R 1 250</w:t>
            </w:r>
          </w:p>
        </w:tc>
        <w:tc>
          <w:tcPr>
            <w:tcMar>
              <w:top w:type="dxa" w:w="50"/>
              <w:left w:type="dxa" w:w="80"/>
              <w:bottom w:type="dxa" w:w="50"/>
              <w:right w:type="dxa" w:w="80"/>
            </w:tcMar>
          </w:tcPr>
          <w:p>
            <w:r>
              <w:rPr>
                <w:color w:val="1F2937"/>
                <w:sz w:val="19"/>
                <w:szCs w:val="19"/>
              </w:rPr>
              <w:t xml:space="preserve">R 10 000</w:t>
            </w:r>
          </w:p>
        </w:tc>
      </w:tr>
      <w:tr>
        <w:tc>
          <w:tcPr>
            <w:shd w:fill="F3F4F6" w:val="clear"/>
            <w:tcMar>
              <w:top w:type="dxa" w:w="50"/>
              <w:left w:type="dxa" w:w="80"/>
              <w:bottom w:type="dxa" w:w="50"/>
              <w:right w:type="dxa" w:w="80"/>
            </w:tcMar>
          </w:tcPr>
          <w:p>
            <w:r>
              <w:rPr>
                <w:color w:val="1F2937"/>
                <w:sz w:val="19"/>
                <w:szCs w:val="19"/>
              </w:rPr>
              <w:t xml:space="preserve">Senior Software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Software Engineer</w:t>
            </w:r>
          </w:p>
        </w:tc>
        <w:tc>
          <w:tcPr>
            <w:tcMar>
              <w:top w:type="dxa" w:w="50"/>
              <w:left w:type="dxa" w:w="80"/>
              <w:bottom w:type="dxa" w:w="50"/>
              <w:right w:type="dxa" w:w="80"/>
            </w:tcMar>
          </w:tcPr>
          <w:p>
            <w:r>
              <w:rPr>
                <w:color w:val="1F2937"/>
                <w:sz w:val="19"/>
                <w:szCs w:val="19"/>
              </w:rPr>
              <w:t xml:space="preserve">R 1 000</w:t>
            </w:r>
          </w:p>
        </w:tc>
        <w:tc>
          <w:tcPr>
            <w:tcMar>
              <w:top w:type="dxa" w:w="50"/>
              <w:left w:type="dxa" w:w="80"/>
              <w:bottom w:type="dxa" w:w="50"/>
              <w:right w:type="dxa" w:w="80"/>
            </w:tcMar>
          </w:tcPr>
          <w:p>
            <w:r>
              <w:rPr>
                <w:color w:val="1F2937"/>
                <w:sz w:val="19"/>
                <w:szCs w:val="19"/>
              </w:rPr>
              <w:t xml:space="preserve">R 8 000</w:t>
            </w:r>
          </w:p>
        </w:tc>
      </w:tr>
      <w:tr>
        <w:tc>
          <w:tcPr>
            <w:shd w:fill="F3F4F6" w:val="clear"/>
            <w:tcMar>
              <w:top w:type="dxa" w:w="50"/>
              <w:left w:type="dxa" w:w="80"/>
              <w:bottom w:type="dxa" w:w="50"/>
              <w:right w:type="dxa" w:w="80"/>
            </w:tcMar>
          </w:tcPr>
          <w:p>
            <w:r>
              <w:rPr>
                <w:color w:val="1F2937"/>
                <w:sz w:val="19"/>
                <w:szCs w:val="19"/>
              </w:rPr>
              <w:t xml:space="preserve">QA / Test Analyst</w:t>
            </w:r>
          </w:p>
        </w:tc>
        <w:tc>
          <w:tcPr>
            <w:shd w:fill="F3F4F6" w:val="clear"/>
            <w:tcMar>
              <w:top w:type="dxa" w:w="50"/>
              <w:left w:type="dxa" w:w="80"/>
              <w:bottom w:type="dxa" w:w="50"/>
              <w:right w:type="dxa" w:w="80"/>
            </w:tcMar>
          </w:tcPr>
          <w:p>
            <w:r>
              <w:rPr>
                <w:color w:val="1F2937"/>
                <w:sz w:val="19"/>
                <w:szCs w:val="19"/>
              </w:rPr>
              <w:t xml:space="preserve">R 950</w:t>
            </w:r>
          </w:p>
        </w:tc>
        <w:tc>
          <w:tcPr>
            <w:shd w:fill="F3F4F6" w:val="clear"/>
            <w:tcMar>
              <w:top w:type="dxa" w:w="50"/>
              <w:left w:type="dxa" w:w="80"/>
              <w:bottom w:type="dxa" w:w="50"/>
              <w:right w:type="dxa" w:w="80"/>
            </w:tcMar>
          </w:tcPr>
          <w:p>
            <w:r>
              <w:rPr>
                <w:color w:val="1F2937"/>
                <w:sz w:val="19"/>
                <w:szCs w:val="19"/>
              </w:rPr>
              <w:t xml:space="preserve">R 7 600</w:t>
            </w:r>
          </w:p>
        </w:tc>
      </w:tr>
      <w:tr>
        <w:tc>
          <w:tcPr>
            <w:tcMar>
              <w:top w:type="dxa" w:w="50"/>
              <w:left w:type="dxa" w:w="80"/>
              <w:bottom w:type="dxa" w:w="50"/>
              <w:right w:type="dxa" w:w="80"/>
            </w:tcMar>
          </w:tcPr>
          <w:p>
            <w:r>
              <w:rPr>
                <w:color w:val="1F2937"/>
                <w:sz w:val="19"/>
                <w:szCs w:val="19"/>
              </w:rPr>
              <w:t xml:space="preserve">Data Migration Specialist</w:t>
            </w:r>
          </w:p>
        </w:tc>
        <w:tc>
          <w:tcPr>
            <w:tcMar>
              <w:top w:type="dxa" w:w="50"/>
              <w:left w:type="dxa" w:w="80"/>
              <w:bottom w:type="dxa" w:w="50"/>
              <w:right w:type="dxa" w:w="80"/>
            </w:tcMar>
          </w:tcPr>
          <w:p>
            <w:r>
              <w:rPr>
                <w:color w:val="1F2937"/>
                <w:sz w:val="19"/>
                <w:szCs w:val="19"/>
              </w:rPr>
              <w:t xml:space="preserve">R 1 300</w:t>
            </w:r>
          </w:p>
        </w:tc>
        <w:tc>
          <w:tcPr>
            <w:tcMar>
              <w:top w:type="dxa" w:w="50"/>
              <w:left w:type="dxa" w:w="80"/>
              <w:bottom w:type="dxa" w:w="50"/>
              <w:right w:type="dxa" w:w="80"/>
            </w:tcMar>
          </w:tcPr>
          <w:p>
            <w:r>
              <w:rPr>
                <w:color w:val="1F2937"/>
                <w:sz w:val="19"/>
                <w:szCs w:val="19"/>
              </w:rPr>
              <w:t xml:space="preserve">R 10 400</w:t>
            </w:r>
          </w:p>
        </w:tc>
      </w:tr>
      <w:tr>
        <w:tc>
          <w:tcPr>
            <w:shd w:fill="F3F4F6" w:val="clear"/>
            <w:tcMar>
              <w:top w:type="dxa" w:w="50"/>
              <w:left w:type="dxa" w:w="80"/>
              <w:bottom w:type="dxa" w:w="50"/>
              <w:right w:type="dxa" w:w="80"/>
            </w:tcMar>
          </w:tcPr>
          <w:p>
            <w:r>
              <w:rPr>
                <w:color w:val="1F2937"/>
                <w:sz w:val="19"/>
                <w:szCs w:val="19"/>
              </w:rPr>
              <w:t xml:space="preserve">DevOps / Cloud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Change &amp; Training Specialist</w:t>
            </w:r>
          </w:p>
        </w:tc>
        <w:tc>
          <w:tcPr>
            <w:tcMar>
              <w:top w:type="dxa" w:w="50"/>
              <w:left w:type="dxa" w:w="80"/>
              <w:bottom w:type="dxa" w:w="50"/>
              <w:right w:type="dxa" w:w="80"/>
            </w:tcMar>
          </w:tcPr>
          <w:p>
            <w:r>
              <w:rPr>
                <w:color w:val="1F2937"/>
                <w:sz w:val="19"/>
                <w:szCs w:val="19"/>
              </w:rPr>
              <w:t xml:space="preserve">R 1 050</w:t>
            </w:r>
          </w:p>
        </w:tc>
        <w:tc>
          <w:tcPr>
            <w:tcMar>
              <w:top w:type="dxa" w:w="50"/>
              <w:left w:type="dxa" w:w="80"/>
              <w:bottom w:type="dxa" w:w="50"/>
              <w:right w:type="dxa" w:w="80"/>
            </w:tcMar>
          </w:tcPr>
          <w:p>
            <w:r>
              <w:rPr>
                <w:color w:val="1F2937"/>
                <w:sz w:val="19"/>
                <w:szCs w:val="19"/>
              </w:rPr>
              <w:t xml:space="preserve">R 8 400</w:t>
            </w:r>
          </w:p>
        </w:tc>
      </w:tr>
    </w:tbl>
    <w:p>
      <w:pPr>
        <w:spacing w:after="80" w:before="160"/>
      </w:pPr>
      <w:r>
        <w:rPr>
          <w:b/>
          <w:bCs/>
          <w:color w:val="1F2937"/>
          <w:sz w:val="24"/>
          <w:szCs w:val="24"/>
        </w:rPr>
        <w:t xml:space="preserve">17.4 Implementation Work-Package Pricing</w:t>
      </w:r>
    </w:p>
    <w:p>
      <w:pPr>
        <w:spacing w:after="120"/>
      </w:pPr>
      <w:r>
        <w:rPr>
          <w:color w:val="1F2937"/>
          <w:sz w:val="22"/>
          <w:szCs w:val="22"/>
        </w:rPr>
        <w:t xml:space="preserve">Fixed-price implementation broken down by the Annexure L work-packages, with indicative effort.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Ref</w:t>
            </w:r>
          </w:p>
        </w:tc>
        <w:tc>
          <w:tcPr>
            <w:shd w:fill="004898" w:val="clear"/>
            <w:tcMar>
              <w:top w:type="dxa" w:w="60"/>
              <w:left w:type="dxa" w:w="80"/>
              <w:bottom w:type="dxa" w:w="60"/>
              <w:right w:type="dxa" w:w="80"/>
            </w:tcMar>
          </w:tcPr>
          <w:p>
            <w:r>
              <w:rPr>
                <w:b/>
                <w:bCs/>
                <w:color w:val="FFFFFF"/>
                <w:sz w:val="20"/>
                <w:szCs w:val="20"/>
              </w:rPr>
              <w:t xml:space="preserve">Work Package</w:t>
            </w:r>
          </w:p>
        </w:tc>
        <w:tc>
          <w:tcPr>
            <w:shd w:fill="004898" w:val="clear"/>
            <w:tcMar>
              <w:top w:type="dxa" w:w="60"/>
              <w:left w:type="dxa" w:w="80"/>
              <w:bottom w:type="dxa" w:w="60"/>
              <w:right w:type="dxa" w:w="80"/>
            </w:tcMar>
          </w:tcPr>
          <w:p>
            <w:r>
              <w:rPr>
                <w:b/>
                <w:bCs/>
                <w:color w:val="FFFFFF"/>
                <w:sz w:val="20"/>
                <w:szCs w:val="20"/>
              </w:rPr>
              <w:t xml:space="preserve">Effort (p-days)</w:t>
            </w:r>
          </w:p>
        </w:tc>
        <w:tc>
          <w:tcPr>
            <w:shd w:fill="004898" w:val="clear"/>
            <w:tcMar>
              <w:top w:type="dxa" w:w="60"/>
              <w:left w:type="dxa" w:w="80"/>
              <w:bottom w:type="dxa" w:w="60"/>
              <w:right w:type="dxa" w:w="80"/>
            </w:tcMar>
          </w:tcPr>
          <w:p>
            <w:r>
              <w:rPr>
                <w:b/>
                <w:bCs/>
                <w:color w:val="FFFFFF"/>
                <w:sz w:val="20"/>
                <w:szCs w:val="20"/>
              </w:rPr>
              <w:t xml:space="preserve">Price (excl. VAT)</w:t>
            </w:r>
          </w:p>
        </w:tc>
      </w:tr>
      <w:tr>
        <w:tc>
          <w:tcPr>
            <w:tcMar>
              <w:top w:type="dxa" w:w="50"/>
              <w:left w:type="dxa" w:w="80"/>
              <w:bottom w:type="dxa" w:w="50"/>
              <w:right w:type="dxa" w:w="80"/>
            </w:tcMar>
          </w:tcPr>
          <w:p>
            <w:r>
              <w:rPr>
                <w:color w:val="1F2937"/>
                <w:sz w:val="19"/>
                <w:szCs w:val="19"/>
              </w:rPr>
              <w:t xml:space="preserve">WP1</w:t>
            </w:r>
          </w:p>
        </w:tc>
        <w:tc>
          <w:tcPr>
            <w:tcMar>
              <w:top w:type="dxa" w:w="50"/>
              <w:left w:type="dxa" w:w="80"/>
              <w:bottom w:type="dxa" w:w="50"/>
              <w:right w:type="dxa" w:w="80"/>
            </w:tcMar>
          </w:tcPr>
          <w:p>
            <w:r>
              <w:rPr>
                <w:color w:val="1F2937"/>
                <w:sz w:val="19"/>
                <w:szCs w:val="19"/>
              </w:rPr>
              <w:t xml:space="preserve">Business Process Analysis</w:t>
            </w:r>
          </w:p>
        </w:tc>
        <w:tc>
          <w:tcPr>
            <w:tcMar>
              <w:top w:type="dxa" w:w="50"/>
              <w:left w:type="dxa" w:w="80"/>
              <w:bottom w:type="dxa" w:w="50"/>
              <w:right w:type="dxa" w:w="80"/>
            </w:tcMar>
          </w:tcPr>
          <w:p>
            <w:r>
              <w:rPr>
                <w:color w:val="1F2937"/>
                <w:sz w:val="19"/>
                <w:szCs w:val="19"/>
              </w:rPr>
              <w:t xml:space="preserve">170</w:t>
            </w:r>
          </w:p>
        </w:tc>
        <w:tc>
          <w:tcPr>
            <w:tcMar>
              <w:top w:type="dxa" w:w="50"/>
              <w:left w:type="dxa" w:w="80"/>
              <w:bottom w:type="dxa" w:w="50"/>
              <w:right w:type="dxa" w:w="80"/>
            </w:tcMar>
          </w:tcPr>
          <w:p>
            <w:r>
              <w:rPr>
                <w:color w:val="1F2937"/>
                <w:sz w:val="19"/>
                <w:szCs w:val="19"/>
              </w:rPr>
              <w:t xml:space="preserve">R 1 884 000</w:t>
            </w:r>
          </w:p>
        </w:tc>
      </w:tr>
      <w:tr>
        <w:tc>
          <w:tcPr>
            <w:shd w:fill="F3F4F6" w:val="clear"/>
            <w:tcMar>
              <w:top w:type="dxa" w:w="50"/>
              <w:left w:type="dxa" w:w="80"/>
              <w:bottom w:type="dxa" w:w="50"/>
              <w:right w:type="dxa" w:w="80"/>
            </w:tcMar>
          </w:tcPr>
          <w:p>
            <w:r>
              <w:rPr>
                <w:color w:val="1F2937"/>
                <w:sz w:val="19"/>
                <w:szCs w:val="19"/>
              </w:rPr>
              <w:t xml:space="preserve">WP2</w:t>
            </w:r>
          </w:p>
        </w:tc>
        <w:tc>
          <w:tcPr>
            <w:shd w:fill="F3F4F6" w:val="clear"/>
            <w:tcMar>
              <w:top w:type="dxa" w:w="50"/>
              <w:left w:type="dxa" w:w="80"/>
              <w:bottom w:type="dxa" w:w="50"/>
              <w:right w:type="dxa" w:w="80"/>
            </w:tcMar>
          </w:tcPr>
          <w:p>
            <w:r>
              <w:rPr>
                <w:color w:val="1F2937"/>
                <w:sz w:val="19"/>
                <w:szCs w:val="19"/>
              </w:rPr>
              <w:t xml:space="preserve">Solution Architecture &amp; Design</w:t>
            </w:r>
          </w:p>
        </w:tc>
        <w:tc>
          <w:tcPr>
            <w:shd w:fill="F3F4F6" w:val="clear"/>
            <w:tcMar>
              <w:top w:type="dxa" w:w="50"/>
              <w:left w:type="dxa" w:w="80"/>
              <w:bottom w:type="dxa" w:w="50"/>
              <w:right w:type="dxa" w:w="80"/>
            </w:tcMar>
          </w:tcPr>
          <w:p>
            <w:r>
              <w:rPr>
                <w:color w:val="1F2937"/>
                <w:sz w:val="19"/>
                <w:szCs w:val="19"/>
              </w:rPr>
              <w:t xml:space="preserve">225</w:t>
            </w:r>
          </w:p>
        </w:tc>
        <w:tc>
          <w:tcPr>
            <w:shd w:fill="F3F4F6" w:val="clear"/>
            <w:tcMar>
              <w:top w:type="dxa" w:w="50"/>
              <w:left w:type="dxa" w:w="80"/>
              <w:bottom w:type="dxa" w:w="50"/>
              <w:right w:type="dxa" w:w="80"/>
            </w:tcMar>
          </w:tcPr>
          <w:p>
            <w:r>
              <w:rPr>
                <w:color w:val="1F2937"/>
                <w:sz w:val="19"/>
                <w:szCs w:val="19"/>
              </w:rPr>
              <w:t xml:space="preserve">R 2 952 000</w:t>
            </w:r>
          </w:p>
        </w:tc>
      </w:tr>
      <w:tr>
        <w:tc>
          <w:tcPr>
            <w:tcMar>
              <w:top w:type="dxa" w:w="50"/>
              <w:left w:type="dxa" w:w="80"/>
              <w:bottom w:type="dxa" w:w="50"/>
              <w:right w:type="dxa" w:w="80"/>
            </w:tcMar>
          </w:tcPr>
          <w:p>
            <w:r>
              <w:rPr>
                <w:color w:val="1F2937"/>
                <w:sz w:val="19"/>
                <w:szCs w:val="19"/>
              </w:rPr>
              <w:t xml:space="preserve">WP3</w:t>
            </w:r>
          </w:p>
        </w:tc>
        <w:tc>
          <w:tcPr>
            <w:tcMar>
              <w:top w:type="dxa" w:w="50"/>
              <w:left w:type="dxa" w:w="80"/>
              <w:bottom w:type="dxa" w:w="50"/>
              <w:right w:type="dxa" w:w="80"/>
            </w:tcMar>
          </w:tcPr>
          <w:p>
            <w:r>
              <w:rPr>
                <w:color w:val="1F2937"/>
                <w:sz w:val="19"/>
                <w:szCs w:val="19"/>
              </w:rPr>
              <w:t xml:space="preserve">Build, Configure &amp; Test</w:t>
            </w:r>
          </w:p>
        </w:tc>
        <w:tc>
          <w:tcPr>
            <w:tcMar>
              <w:top w:type="dxa" w:w="50"/>
              <w:left w:type="dxa" w:w="80"/>
              <w:bottom w:type="dxa" w:w="50"/>
              <w:right w:type="dxa" w:w="80"/>
            </w:tcMar>
          </w:tcPr>
          <w:p>
            <w:r>
              <w:rPr>
                <w:color w:val="1F2937"/>
                <w:sz w:val="19"/>
                <w:szCs w:val="19"/>
              </w:rPr>
              <w:t xml:space="preserve">820</w:t>
            </w:r>
          </w:p>
        </w:tc>
        <w:tc>
          <w:tcPr>
            <w:tcMar>
              <w:top w:type="dxa" w:w="50"/>
              <w:left w:type="dxa" w:w="80"/>
              <w:bottom w:type="dxa" w:w="50"/>
              <w:right w:type="dxa" w:w="80"/>
            </w:tcMar>
          </w:tcPr>
          <w:p>
            <w:r>
              <w:rPr>
                <w:color w:val="1F2937"/>
                <w:sz w:val="19"/>
                <w:szCs w:val="19"/>
              </w:rPr>
              <w:t xml:space="preserve">R 7 416 000</w:t>
            </w:r>
          </w:p>
        </w:tc>
      </w:tr>
      <w:tr>
        <w:tc>
          <w:tcPr>
            <w:shd w:fill="F3F4F6" w:val="clear"/>
            <w:tcMar>
              <w:top w:type="dxa" w:w="50"/>
              <w:left w:type="dxa" w:w="80"/>
              <w:bottom w:type="dxa" w:w="50"/>
              <w:right w:type="dxa" w:w="80"/>
            </w:tcMar>
          </w:tcPr>
          <w:p>
            <w:r>
              <w:rPr>
                <w:color w:val="1F2937"/>
                <w:sz w:val="19"/>
                <w:szCs w:val="19"/>
              </w:rPr>
              <w:t xml:space="preserve">WP4</w:t>
            </w:r>
          </w:p>
        </w:tc>
        <w:tc>
          <w:tcPr>
            <w:shd w:fill="F3F4F6" w:val="clear"/>
            <w:tcMar>
              <w:top w:type="dxa" w:w="50"/>
              <w:left w:type="dxa" w:w="80"/>
              <w:bottom w:type="dxa" w:w="50"/>
              <w:right w:type="dxa" w:w="80"/>
            </w:tcMar>
          </w:tcPr>
          <w:p>
            <w:r>
              <w:rPr>
                <w:color w:val="1F2937"/>
                <w:sz w:val="19"/>
                <w:szCs w:val="19"/>
              </w:rPr>
              <w:t xml:space="preserve">Data Migration</w:t>
            </w:r>
          </w:p>
        </w:tc>
        <w:tc>
          <w:tcPr>
            <w:shd w:fill="F3F4F6" w:val="clear"/>
            <w:tcMar>
              <w:top w:type="dxa" w:w="50"/>
              <w:left w:type="dxa" w:w="80"/>
              <w:bottom w:type="dxa" w:w="50"/>
              <w:right w:type="dxa" w:w="80"/>
            </w:tcMar>
          </w:tcPr>
          <w:p>
            <w:r>
              <w:rPr>
                <w:color w:val="1F2937"/>
                <w:sz w:val="19"/>
                <w:szCs w:val="19"/>
              </w:rPr>
              <w:t xml:space="preserve">260</w:t>
            </w:r>
          </w:p>
        </w:tc>
        <w:tc>
          <w:tcPr>
            <w:shd w:fill="F3F4F6" w:val="clear"/>
            <w:tcMar>
              <w:top w:type="dxa" w:w="50"/>
              <w:left w:type="dxa" w:w="80"/>
              <w:bottom w:type="dxa" w:w="50"/>
              <w:right w:type="dxa" w:w="80"/>
            </w:tcMar>
          </w:tcPr>
          <w:p>
            <w:r>
              <w:rPr>
                <w:color w:val="1F2937"/>
                <w:sz w:val="19"/>
                <w:szCs w:val="19"/>
              </w:rPr>
              <w:t xml:space="preserve">R 2 448 000</w:t>
            </w:r>
          </w:p>
        </w:tc>
      </w:tr>
      <w:tr>
        <w:tc>
          <w:tcPr>
            <w:tcMar>
              <w:top w:type="dxa" w:w="50"/>
              <w:left w:type="dxa" w:w="80"/>
              <w:bottom w:type="dxa" w:w="50"/>
              <w:right w:type="dxa" w:w="80"/>
            </w:tcMar>
          </w:tcPr>
          <w:p>
            <w:r>
              <w:rPr>
                <w:color w:val="1F2937"/>
                <w:sz w:val="19"/>
                <w:szCs w:val="19"/>
              </w:rPr>
              <w:t xml:space="preserve">WP5</w:t>
            </w:r>
          </w:p>
        </w:tc>
        <w:tc>
          <w:tcPr>
            <w:tcMar>
              <w:top w:type="dxa" w:w="50"/>
              <w:left w:type="dxa" w:w="80"/>
              <w:bottom w:type="dxa" w:w="50"/>
              <w:right w:type="dxa" w:w="80"/>
            </w:tcMar>
          </w:tcPr>
          <w:p>
            <w:r>
              <w:rPr>
                <w:color w:val="1F2937"/>
                <w:sz w:val="19"/>
                <w:szCs w:val="19"/>
              </w:rPr>
              <w:t xml:space="preserve">Deployment</w:t>
            </w:r>
          </w:p>
        </w:tc>
        <w:tc>
          <w:tcPr>
            <w:tcMar>
              <w:top w:type="dxa" w:w="50"/>
              <w:left w:type="dxa" w:w="80"/>
              <w:bottom w:type="dxa" w:w="50"/>
              <w:right w:type="dxa" w:w="80"/>
            </w:tcMar>
          </w:tcPr>
          <w:p>
            <w:r>
              <w:rPr>
                <w:color w:val="1F2937"/>
                <w:sz w:val="19"/>
                <w:szCs w:val="19"/>
              </w:rPr>
              <w:t xml:space="preserve">155</w:t>
            </w:r>
          </w:p>
        </w:tc>
        <w:tc>
          <w:tcPr>
            <w:tcMar>
              <w:top w:type="dxa" w:w="50"/>
              <w:left w:type="dxa" w:w="80"/>
              <w:bottom w:type="dxa" w:w="50"/>
              <w:right w:type="dxa" w:w="80"/>
            </w:tcMar>
          </w:tcPr>
          <w:p>
            <w:r>
              <w:rPr>
                <w:color w:val="1F2937"/>
                <w:sz w:val="19"/>
                <w:szCs w:val="19"/>
              </w:rPr>
              <w:t xml:space="preserve">R 1 646 000</w:t>
            </w:r>
          </w:p>
        </w:tc>
      </w:tr>
      <w:tr>
        <w:tc>
          <w:tcPr>
            <w:shd w:fill="F3F4F6" w:val="clear"/>
            <w:tcMar>
              <w:top w:type="dxa" w:w="50"/>
              <w:left w:type="dxa" w:w="80"/>
              <w:bottom w:type="dxa" w:w="50"/>
              <w:right w:type="dxa" w:w="80"/>
            </w:tcMar>
          </w:tcPr>
          <w:p>
            <w:r>
              <w:rPr>
                <w:color w:val="1F2937"/>
                <w:sz w:val="19"/>
                <w:szCs w:val="19"/>
              </w:rPr>
              <w:t xml:space="preserve">WP6</w:t>
            </w:r>
          </w:p>
        </w:tc>
        <w:tc>
          <w:tcPr>
            <w:shd w:fill="F3F4F6" w:val="clear"/>
            <w:tcMar>
              <w:top w:type="dxa" w:w="50"/>
              <w:left w:type="dxa" w:w="80"/>
              <w:bottom w:type="dxa" w:w="50"/>
              <w:right w:type="dxa" w:w="80"/>
            </w:tcMar>
          </w:tcPr>
          <w:p>
            <w:r>
              <w:rPr>
                <w:color w:val="1F2937"/>
                <w:sz w:val="19"/>
                <w:szCs w:val="19"/>
              </w:rPr>
              <w:t xml:space="preserve">Stabilisation &amp; Go-Live (incl. 3-month warranty)</w:t>
            </w:r>
          </w:p>
        </w:tc>
        <w:tc>
          <w:tcPr>
            <w:shd w:fill="F3F4F6" w:val="clear"/>
            <w:tcMar>
              <w:top w:type="dxa" w:w="50"/>
              <w:left w:type="dxa" w:w="80"/>
              <w:bottom w:type="dxa" w:w="50"/>
              <w:right w:type="dxa" w:w="80"/>
            </w:tcMar>
          </w:tcPr>
          <w:p>
            <w:r>
              <w:rPr>
                <w:color w:val="1F2937"/>
                <w:sz w:val="19"/>
                <w:szCs w:val="19"/>
              </w:rPr>
              <w:t xml:space="preserve">205</w:t>
            </w:r>
          </w:p>
        </w:tc>
        <w:tc>
          <w:tcPr>
            <w:shd w:fill="F3F4F6" w:val="clear"/>
            <w:tcMar>
              <w:top w:type="dxa" w:w="50"/>
              <w:left w:type="dxa" w:w="80"/>
              <w:bottom w:type="dxa" w:w="50"/>
              <w:right w:type="dxa" w:w="80"/>
            </w:tcMar>
          </w:tcPr>
          <w:p>
            <w:r>
              <w:rPr>
                <w:color w:val="1F2937"/>
                <w:sz w:val="19"/>
                <w:szCs w:val="19"/>
              </w:rPr>
              <w:t xml:space="preserve">R 1 958 000</w:t>
            </w:r>
          </w:p>
        </w:tc>
      </w:tr>
      <w:tr>
        <w:tc>
          <w:tcPr>
            <w:tcMar>
              <w:top w:type="dxa" w:w="50"/>
              <w:left w:type="dxa" w:w="80"/>
              <w:bottom w:type="dxa" w:w="50"/>
              <w:right w:type="dxa" w:w="80"/>
            </w:tcMar>
          </w:tcPr>
          <w:p>
            <w:r>
              <w:rPr>
                <w:color w:val="1F2937"/>
                <w:sz w:val="19"/>
                <w:szCs w:val="19"/>
              </w:rPr>
              <w:t xml:space="preserve">WP7</w:t>
            </w:r>
          </w:p>
        </w:tc>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140</w:t>
            </w:r>
          </w:p>
        </w:tc>
        <w:tc>
          <w:tcPr>
            <w:tcMar>
              <w:top w:type="dxa" w:w="50"/>
              <w:left w:type="dxa" w:w="80"/>
              <w:bottom w:type="dxa" w:w="50"/>
              <w:right w:type="dxa" w:w="80"/>
            </w:tcMar>
          </w:tcPr>
          <w:p>
            <w:r>
              <w:rPr>
                <w:color w:val="1F2937"/>
                <w:sz w:val="19"/>
                <w:szCs w:val="19"/>
              </w:rPr>
              <w:t xml:space="preserve">R 1 216 000</w:t>
            </w:r>
          </w:p>
        </w:tc>
      </w:tr>
      <w:tr>
        <w:tc>
          <w:tcPr>
            <w:shd w:fill="F3F4F6" w:val="clear"/>
            <w:tcMar>
              <w:top w:type="dxa" w:w="50"/>
              <w:left w:type="dxa" w:w="80"/>
              <w:bottom w:type="dxa" w:w="50"/>
              <w:right w:type="dxa" w:w="80"/>
            </w:tcMar>
          </w:tcPr>
          <w:p>
            <w:r>
              <w:rPr>
                <w:color w:val="1F2937"/>
                <w:sz w:val="19"/>
                <w:szCs w:val="19"/>
              </w:rPr>
              <w:t xml:space="preserve">WP8</w:t>
            </w:r>
          </w:p>
        </w:tc>
        <w:tc>
          <w:tcPr>
            <w:shd w:fill="F3F4F6" w:val="clear"/>
            <w:tcMar>
              <w:top w:type="dxa" w:w="50"/>
              <w:left w:type="dxa" w:w="80"/>
              <w:bottom w:type="dxa" w:w="50"/>
              <w:right w:type="dxa" w:w="80"/>
            </w:tcMar>
          </w:tcPr>
          <w:p>
            <w:r>
              <w:rPr>
                <w:color w:val="1F2937"/>
                <w:sz w:val="19"/>
                <w:szCs w:val="19"/>
              </w:rPr>
              <w:t xml:space="preserve">Change Management</w:t>
            </w:r>
          </w:p>
        </w:tc>
        <w:tc>
          <w:tcPr>
            <w:shd w:fill="F3F4F6" w:val="clear"/>
            <w:tcMar>
              <w:top w:type="dxa" w:w="50"/>
              <w:left w:type="dxa" w:w="80"/>
              <w:bottom w:type="dxa" w:w="50"/>
              <w:right w:type="dxa" w:w="80"/>
            </w:tcMar>
          </w:tcPr>
          <w:p>
            <w:r>
              <w:rPr>
                <w:color w:val="1F2937"/>
                <w:sz w:val="19"/>
                <w:szCs w:val="19"/>
              </w:rPr>
              <w:t xml:space="preserve">170</w:t>
            </w:r>
          </w:p>
        </w:tc>
        <w:tc>
          <w:tcPr>
            <w:shd w:fill="F3F4F6" w:val="clear"/>
            <w:tcMar>
              <w:top w:type="dxa" w:w="50"/>
              <w:left w:type="dxa" w:w="80"/>
              <w:bottom w:type="dxa" w:w="50"/>
              <w:right w:type="dxa" w:w="80"/>
            </w:tcMar>
          </w:tcPr>
          <w:p>
            <w:r>
              <w:rPr>
                <w:color w:val="1F2937"/>
                <w:sz w:val="19"/>
                <w:szCs w:val="19"/>
              </w:rPr>
              <w:t xml:space="preserve">R 1 564 000</w:t>
            </w:r>
          </w:p>
        </w:tc>
      </w:tr>
      <w:tr>
        <w:tc>
          <w:tcPr>
            <w:tcMar>
              <w:top w:type="dxa" w:w="50"/>
              <w:left w:type="dxa" w:w="80"/>
              <w:bottom w:type="dxa" w:w="50"/>
              <w:right w:type="dxa" w:w="80"/>
            </w:tcMar>
          </w:tcPr>
          <w:p>
            <w:r>
              <w:rPr>
                <w:color w:val="1F2937"/>
                <w:sz w:val="19"/>
                <w:szCs w:val="19"/>
              </w:rPr>
              <w:t xml:space="preserve">WP9</w:t>
            </w:r>
          </w:p>
        </w:tc>
        <w:tc>
          <w:tcPr>
            <w:tcMar>
              <w:top w:type="dxa" w:w="50"/>
              <w:left w:type="dxa" w:w="80"/>
              <w:bottom w:type="dxa" w:w="50"/>
              <w:right w:type="dxa" w:w="80"/>
            </w:tcMar>
          </w:tcPr>
          <w:p>
            <w:r>
              <w:rPr>
                <w:color w:val="1F2937"/>
                <w:sz w:val="19"/>
                <w:szCs w:val="19"/>
              </w:rPr>
              <w:t xml:space="preserve">Project &amp; Programme Management</w:t>
            </w:r>
          </w:p>
        </w:tc>
        <w:tc>
          <w:tcPr>
            <w:tcMar>
              <w:top w:type="dxa" w:w="50"/>
              <w:left w:type="dxa" w:w="80"/>
              <w:bottom w:type="dxa" w:w="50"/>
              <w:right w:type="dxa" w:w="80"/>
            </w:tcMar>
          </w:tcPr>
          <w:p>
            <w:r>
              <w:rPr>
                <w:color w:val="1F2937"/>
                <w:sz w:val="19"/>
                <w:szCs w:val="19"/>
              </w:rPr>
              <w:t xml:space="preserve">320</w:t>
            </w:r>
          </w:p>
        </w:tc>
        <w:tc>
          <w:tcPr>
            <w:tcMar>
              <w:top w:type="dxa" w:w="50"/>
              <w:left w:type="dxa" w:w="80"/>
              <w:bottom w:type="dxa" w:w="50"/>
              <w:right w:type="dxa" w:w="80"/>
            </w:tcMar>
          </w:tcPr>
          <w:p>
            <w:r>
              <w:rPr>
                <w:color w:val="1F2937"/>
                <w:sz w:val="19"/>
                <w:szCs w:val="19"/>
              </w:rPr>
              <w:t xml:space="preserve">R 3 896 000</w:t>
            </w:r>
          </w:p>
        </w:tc>
      </w:tr>
      <w:tr>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Total implementation (fixed price)</w:t>
            </w:r>
          </w:p>
        </w:tc>
        <w:tc>
          <w:tcPr>
            <w:shd w:fill="F3F4F6" w:val="clear"/>
            <w:tcMar>
              <w:top w:type="dxa" w:w="50"/>
              <w:left w:type="dxa" w:w="80"/>
              <w:bottom w:type="dxa" w:w="50"/>
              <w:right w:type="dxa" w:w="80"/>
            </w:tcMar>
          </w:tcPr>
          <w:p>
            <w:r>
              <w:rPr>
                <w:color w:val="1F2937"/>
                <w:sz w:val="19"/>
                <w:szCs w:val="19"/>
              </w:rPr>
              <w:t xml:space="preserve">2465</w:t>
            </w:r>
          </w:p>
        </w:tc>
        <w:tc>
          <w:tcPr>
            <w:shd w:fill="F3F4F6" w:val="clear"/>
            <w:tcMar>
              <w:top w:type="dxa" w:w="50"/>
              <w:left w:type="dxa" w:w="80"/>
              <w:bottom w:type="dxa" w:w="50"/>
              <w:right w:type="dxa" w:w="80"/>
            </w:tcMar>
          </w:tcPr>
          <w:p>
            <w:r>
              <w:rPr>
                <w:color w:val="1F2937"/>
                <w:sz w:val="19"/>
                <w:szCs w:val="19"/>
              </w:rPr>
              <w:t xml:space="preserve">R 24 980 000</w:t>
            </w:r>
          </w:p>
        </w:tc>
      </w:tr>
    </w:tbl>
    <w:p>
      <w:pPr>
        <w:spacing w:after="80" w:before="160"/>
      </w:pPr>
      <w:r>
        <w:rPr>
          <w:b/>
          <w:bCs/>
          <w:color w:val="1F2937"/>
          <w:sz w:val="24"/>
          <w:szCs w:val="24"/>
        </w:rPr>
        <w:t xml:space="preserve">17.5 Support and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Term</w:t>
            </w:r>
          </w:p>
        </w:tc>
        <w:tc>
          <w:tcPr>
            <w:shd w:fill="004898" w:val="clear"/>
            <w:tcMar>
              <w:top w:type="dxa" w:w="60"/>
              <w:left w:type="dxa" w:w="80"/>
              <w:bottom w:type="dxa" w:w="60"/>
              <w:right w:type="dxa" w:w="80"/>
            </w:tcMar>
          </w:tcPr>
          <w:p>
            <w:r>
              <w:rPr>
                <w:b/>
                <w:bCs/>
                <w:color w:val="FFFFFF"/>
                <w:sz w:val="20"/>
                <w:szCs w:val="20"/>
              </w:rPr>
              <w:t xml:space="preserve">Total (excl. VAT)</w:t>
            </w:r>
          </w:p>
        </w:tc>
      </w:tr>
      <w:tr>
        <w:tc>
          <w:tcPr>
            <w:tcMar>
              <w:top w:type="dxa" w:w="50"/>
              <w:left w:type="dxa" w:w="80"/>
              <w:bottom w:type="dxa" w:w="50"/>
              <w:right w:type="dxa" w:w="80"/>
            </w:tcMar>
          </w:tcPr>
          <w:p>
            <w:r>
              <w:rPr>
                <w:color w:val="1F2937"/>
                <w:sz w:val="19"/>
                <w:szCs w:val="19"/>
              </w:rPr>
              <w:t xml:space="preserve">Managed support &amp; maintenance</w:t>
            </w:r>
          </w:p>
        </w:tc>
        <w:tc>
          <w:tcPr>
            <w:tcMar>
              <w:top w:type="dxa" w:w="50"/>
              <w:left w:type="dxa" w:w="80"/>
              <w:bottom w:type="dxa" w:w="50"/>
              <w:right w:type="dxa" w:w="80"/>
            </w:tcMar>
          </w:tcPr>
          <w:p>
            <w:r>
              <w:rPr>
                <w:color w:val="1F2937"/>
                <w:sz w:val="19"/>
                <w:szCs w:val="19"/>
              </w:rPr>
              <w:t xml:space="preserve">Blended support team</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4 yrs (post go-live)</w:t>
            </w:r>
          </w:p>
        </w:tc>
        <w:tc>
          <w:tcPr>
            <w:tcMar>
              <w:top w:type="dxa" w:w="50"/>
              <w:left w:type="dxa" w:w="80"/>
              <w:bottom w:type="dxa" w:w="50"/>
              <w:right w:type="dxa" w:w="80"/>
            </w:tcMar>
          </w:tcPr>
          <w:p>
            <w:r>
              <w:rPr>
                <w:color w:val="1F2937"/>
                <w:sz w:val="19"/>
                <w:szCs w:val="19"/>
              </w:rPr>
              <w:t xml:space="preserve">R 13 321 600</w:t>
            </w:r>
          </w:p>
        </w:tc>
      </w:tr>
    </w:tbl>
    <w:p>
      <w:pPr>
        <w:spacing w:after="140" w:before="100"/>
      </w:pPr>
      <w:r>
        <w:rPr>
          <w:i/>
          <w:iCs/>
          <w:color w:val="6B7280"/>
          <w:sz w:val="18"/>
          <w:szCs w:val="18"/>
        </w:rPr>
        <w:t xml:space="preserve">Support covers L2/L3 application support, corrective and adaptive maintenance, platform updates and service management under an agreed SLA. Final SLA tiers and support windows to be confirmed with the Client.</w:t>
      </w:r>
    </w:p>
    <w:p>
      <w:pPr>
        <w:spacing w:after="80" w:before="160"/>
      </w:pPr>
      <w:r>
        <w:rPr>
          <w:b/>
          <w:bCs/>
          <w:color w:val="1F2937"/>
          <w:sz w:val="24"/>
          <w:szCs w:val="24"/>
        </w:rPr>
        <w:t xml:space="preserve">17.6 Five-Year Total Cost of Ownership</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Year</w:t>
            </w:r>
          </w:p>
        </w:tc>
        <w:tc>
          <w:tcPr>
            <w:shd w:fill="004898" w:val="clear"/>
            <w:tcMar>
              <w:top w:type="dxa" w:w="60"/>
              <w:left w:type="dxa" w:w="80"/>
              <w:bottom w:type="dxa" w:w="60"/>
              <w:right w:type="dxa" w:w="80"/>
            </w:tcMar>
          </w:tcPr>
          <w:p>
            <w:r>
              <w:rPr>
                <w:b/>
                <w:bCs/>
                <w:color w:val="FFFFFF"/>
                <w:sz w:val="20"/>
                <w:szCs w:val="20"/>
              </w:rPr>
              <w:t xml:space="preserve">Implementation</w:t>
            </w:r>
          </w:p>
        </w:tc>
        <w:tc>
          <w:tcPr>
            <w:shd w:fill="004898" w:val="clear"/>
            <w:tcMar>
              <w:top w:type="dxa" w:w="60"/>
              <w:left w:type="dxa" w:w="80"/>
              <w:bottom w:type="dxa" w:w="60"/>
              <w:right w:type="dxa" w:w="80"/>
            </w:tcMar>
          </w:tcPr>
          <w:p>
            <w:r>
              <w:rPr>
                <w:b/>
                <w:bCs/>
                <w:color w:val="FFFFFF"/>
                <w:sz w:val="20"/>
                <w:szCs w:val="20"/>
              </w:rPr>
              <w:t xml:space="preserve">Licence</w:t>
            </w:r>
          </w:p>
        </w:tc>
        <w:tc>
          <w:tcPr>
            <w:shd w:fill="004898" w:val="clear"/>
            <w:tcMar>
              <w:top w:type="dxa" w:w="60"/>
              <w:left w:type="dxa" w:w="80"/>
              <w:bottom w:type="dxa" w:w="60"/>
              <w:right w:type="dxa" w:w="80"/>
            </w:tcMar>
          </w:tcPr>
          <w:p>
            <w:r>
              <w:rPr>
                <w:b/>
                <w:bCs/>
                <w:color w:val="FFFFFF"/>
                <w:sz w:val="20"/>
                <w:szCs w:val="20"/>
              </w:rPr>
              <w:t xml:space="preserve">Support &amp; Maint.</w:t>
            </w:r>
          </w:p>
        </w:tc>
        <w:tc>
          <w:tcPr>
            <w:shd w:fill="004898" w:val="clear"/>
            <w:tcMar>
              <w:top w:type="dxa" w:w="60"/>
              <w:left w:type="dxa" w:w="80"/>
              <w:bottom w:type="dxa" w:w="60"/>
              <w:right w:type="dxa" w:w="80"/>
            </w:tcMar>
          </w:tcPr>
          <w:p>
            <w:r>
              <w:rPr>
                <w:b/>
                <w:bCs/>
                <w:color w:val="FFFFFF"/>
                <w:sz w:val="20"/>
                <w:szCs w:val="20"/>
              </w:rPr>
              <w:t xml:space="preserve">Annual Total</w:t>
            </w:r>
          </w:p>
        </w:tc>
      </w:tr>
      <w:tr>
        <w:tc>
          <w:tcPr>
            <w:tcMar>
              <w:top w:type="dxa" w:w="50"/>
              <w:left w:type="dxa" w:w="80"/>
              <w:bottom w:type="dxa" w:w="50"/>
              <w:right w:type="dxa" w:w="80"/>
            </w:tcMar>
          </w:tcPr>
          <w:p>
            <w:r>
              <w:rPr>
                <w:color w:val="1F2937"/>
                <w:sz w:val="19"/>
                <w:szCs w:val="19"/>
              </w:rPr>
              <w:t xml:space="preserve">Year 1</w:t>
            </w:r>
          </w:p>
        </w:tc>
        <w:tc>
          <w:tcPr>
            <w:tcMar>
              <w:top w:type="dxa" w:w="50"/>
              <w:left w:type="dxa" w:w="80"/>
              <w:bottom w:type="dxa" w:w="50"/>
              <w:right w:type="dxa" w:w="80"/>
            </w:tcMar>
          </w:tcPr>
          <w:p>
            <w:r>
              <w:rPr>
                <w:color w:val="1F2937"/>
                <w:sz w:val="19"/>
                <w:szCs w:val="19"/>
              </w:rPr>
              <w:t xml:space="preserve">R 24 980 000</w:t>
            </w:r>
          </w:p>
        </w:tc>
        <w:tc>
          <w:tcPr>
            <w:tcMar>
              <w:top w:type="dxa" w:w="50"/>
              <w:left w:type="dxa" w:w="80"/>
              <w:bottom w:type="dxa" w:w="50"/>
              <w:right w:type="dxa" w:w="80"/>
            </w:tcMar>
          </w:tcPr>
          <w:p>
            <w:r>
              <w:rPr>
                <w:color w:val="1F2937"/>
                <w:sz w:val="19"/>
                <w:szCs w:val="19"/>
              </w:rPr>
              <w:t xml:space="preserve">R 864 000</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25 844 000</w:t>
            </w:r>
          </w:p>
        </w:tc>
      </w:tr>
      <w:tr>
        <w:tc>
          <w:tcPr>
            <w:shd w:fill="F3F4F6" w:val="clear"/>
            <w:tcMar>
              <w:top w:type="dxa" w:w="50"/>
              <w:left w:type="dxa" w:w="80"/>
              <w:bottom w:type="dxa" w:w="50"/>
              <w:right w:type="dxa" w:w="80"/>
            </w:tcMar>
          </w:tcPr>
          <w:p>
            <w:r>
              <w:rPr>
                <w:color w:val="1F2937"/>
                <w:sz w:val="19"/>
                <w:szCs w:val="19"/>
              </w:rPr>
              <w:t xml:space="preserve">Year 2</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864 000</w:t>
            </w:r>
          </w:p>
        </w:tc>
        <w:tc>
          <w:tcPr>
            <w:shd w:fill="F3F4F6" w:val="clear"/>
            <w:tcMar>
              <w:top w:type="dxa" w:w="50"/>
              <w:left w:type="dxa" w:w="80"/>
              <w:bottom w:type="dxa" w:w="50"/>
              <w:right w:type="dxa" w:w="80"/>
            </w:tcMar>
          </w:tcPr>
          <w:p>
            <w:r>
              <w:rPr>
                <w:color w:val="1F2937"/>
                <w:sz w:val="19"/>
                <w:szCs w:val="19"/>
              </w:rPr>
              <w:t xml:space="preserve">R 3 330 400</w:t>
            </w:r>
          </w:p>
        </w:tc>
        <w:tc>
          <w:tcPr>
            <w:shd w:fill="F3F4F6" w:val="clear"/>
            <w:tcMar>
              <w:top w:type="dxa" w:w="50"/>
              <w:left w:type="dxa" w:w="80"/>
              <w:bottom w:type="dxa" w:w="50"/>
              <w:right w:type="dxa" w:w="80"/>
            </w:tcMar>
          </w:tcPr>
          <w:p>
            <w:r>
              <w:rPr>
                <w:color w:val="1F2937"/>
                <w:sz w:val="19"/>
                <w:szCs w:val="19"/>
              </w:rPr>
              <w:t xml:space="preserve">R 4 194 400</w:t>
            </w:r>
          </w:p>
        </w:tc>
      </w:tr>
      <w:tr>
        <w:tc>
          <w:tcPr>
            <w:tcMar>
              <w:top w:type="dxa" w:w="50"/>
              <w:left w:type="dxa" w:w="80"/>
              <w:bottom w:type="dxa" w:w="50"/>
              <w:right w:type="dxa" w:w="80"/>
            </w:tcMar>
          </w:tcPr>
          <w:p>
            <w:r>
              <w:rPr>
                <w:color w:val="1F2937"/>
                <w:sz w:val="19"/>
                <w:szCs w:val="19"/>
              </w:rPr>
              <w:t xml:space="preserve">Year 3</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864 000</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R 4 194 400</w:t>
            </w:r>
          </w:p>
        </w:tc>
      </w:tr>
      <w:tr>
        <w:tc>
          <w:tcPr>
            <w:shd w:fill="F3F4F6" w:val="clear"/>
            <w:tcMar>
              <w:top w:type="dxa" w:w="50"/>
              <w:left w:type="dxa" w:w="80"/>
              <w:bottom w:type="dxa" w:w="50"/>
              <w:right w:type="dxa" w:w="80"/>
            </w:tcMar>
          </w:tcPr>
          <w:p>
            <w:r>
              <w:rPr>
                <w:color w:val="1F2937"/>
                <w:sz w:val="19"/>
                <w:szCs w:val="19"/>
              </w:rPr>
              <w:t xml:space="preserve">Year 4</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864 000</w:t>
            </w:r>
          </w:p>
        </w:tc>
        <w:tc>
          <w:tcPr>
            <w:shd w:fill="F3F4F6" w:val="clear"/>
            <w:tcMar>
              <w:top w:type="dxa" w:w="50"/>
              <w:left w:type="dxa" w:w="80"/>
              <w:bottom w:type="dxa" w:w="50"/>
              <w:right w:type="dxa" w:w="80"/>
            </w:tcMar>
          </w:tcPr>
          <w:p>
            <w:r>
              <w:rPr>
                <w:color w:val="1F2937"/>
                <w:sz w:val="19"/>
                <w:szCs w:val="19"/>
              </w:rPr>
              <w:t xml:space="preserve">R 3 330 400</w:t>
            </w:r>
          </w:p>
        </w:tc>
        <w:tc>
          <w:tcPr>
            <w:shd w:fill="F3F4F6" w:val="clear"/>
            <w:tcMar>
              <w:top w:type="dxa" w:w="50"/>
              <w:left w:type="dxa" w:w="80"/>
              <w:bottom w:type="dxa" w:w="50"/>
              <w:right w:type="dxa" w:w="80"/>
            </w:tcMar>
          </w:tcPr>
          <w:p>
            <w:r>
              <w:rPr>
                <w:color w:val="1F2937"/>
                <w:sz w:val="19"/>
                <w:szCs w:val="19"/>
              </w:rPr>
              <w:t xml:space="preserve">R 4 194 400</w:t>
            </w:r>
          </w:p>
        </w:tc>
      </w:tr>
      <w:tr>
        <w:tc>
          <w:tcPr>
            <w:tcMar>
              <w:top w:type="dxa" w:w="50"/>
              <w:left w:type="dxa" w:w="80"/>
              <w:bottom w:type="dxa" w:w="50"/>
              <w:right w:type="dxa" w:w="80"/>
            </w:tcMar>
          </w:tcPr>
          <w:p>
            <w:r>
              <w:rPr>
                <w:color w:val="1F2937"/>
                <w:sz w:val="19"/>
                <w:szCs w:val="19"/>
              </w:rPr>
              <w:t xml:space="preserve">Year 5</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864 000</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R 4 194 400</w:t>
            </w:r>
          </w:p>
        </w:tc>
      </w:tr>
      <w:tr>
        <w:tc>
          <w:tcPr>
            <w:shd w:fill="F3F4F6" w:val="clear"/>
            <w:tcMar>
              <w:top w:type="dxa" w:w="50"/>
              <w:left w:type="dxa" w:w="80"/>
              <w:bottom w:type="dxa" w:w="50"/>
              <w:right w:type="dxa" w:w="80"/>
            </w:tcMar>
          </w:tcPr>
          <w:p>
            <w:r>
              <w:rPr>
                <w:color w:val="1F2937"/>
                <w:sz w:val="19"/>
                <w:szCs w:val="19"/>
              </w:rPr>
              <w:t xml:space="preserve">Total (excl.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42 621 600</w:t>
            </w:r>
          </w:p>
        </w:tc>
      </w:tr>
      <w:tr>
        <w:tc>
          <w:tcPr>
            <w:tcMar>
              <w:top w:type="dxa" w:w="50"/>
              <w:left w:type="dxa" w:w="80"/>
              <w:bottom w:type="dxa" w:w="50"/>
              <w:right w:type="dxa" w:w="80"/>
            </w:tcMar>
          </w:tcPr>
          <w:p>
            <w:r>
              <w:rPr>
                <w:color w:val="1F2937"/>
                <w:sz w:val="19"/>
                <w:szCs w:val="19"/>
              </w:rPr>
              <w:t xml:space="preserve">VAT @ 15%</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6 393 240</w:t>
            </w:r>
          </w:p>
        </w:tc>
      </w:tr>
      <w:tr>
        <w:tc>
          <w:tcPr>
            <w:shd w:fill="F3F4F6" w:val="clear"/>
            <w:tcMar>
              <w:top w:type="dxa" w:w="50"/>
              <w:left w:type="dxa" w:w="80"/>
              <w:bottom w:type="dxa" w:w="50"/>
              <w:right w:type="dxa" w:w="80"/>
            </w:tcMar>
          </w:tcPr>
          <w:p>
            <w:r>
              <w:rPr>
                <w:color w:val="1F2937"/>
                <w:sz w:val="19"/>
                <w:szCs w:val="19"/>
              </w:rPr>
              <w:t xml:space="preserve">Total (incl.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49 014 840</w:t>
            </w:r>
          </w:p>
        </w:tc>
      </w:tr>
    </w:tbl>
    <w:p>
      <w:pPr>
        <w:spacing w:after="80" w:before="160"/>
      </w:pPr>
      <w:r>
        <w:rPr>
          <w:b/>
          <w:bCs/>
          <w:color w:val="1F2937"/>
          <w:sz w:val="24"/>
          <w:szCs w:val="24"/>
        </w:rPr>
        <w:t xml:space="preserve">17.7 Payment Milestone Schedule</w:t>
      </w:r>
    </w:p>
    <w:p>
      <w:pPr>
        <w:spacing w:after="120"/>
      </w:pPr>
      <w:r>
        <w:rPr>
          <w:color w:val="1F2937"/>
          <w:sz w:val="22"/>
          <w:szCs w:val="22"/>
        </w:rPr>
        <w:t xml:space="preserve">Implementation value is invoiced on completion and acceptance of each milestone across the 18-month term.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Milestone</w:t>
            </w:r>
          </w:p>
        </w:tc>
        <w:tc>
          <w:tcPr>
            <w:shd w:fill="004898" w:val="clear"/>
            <w:tcMar>
              <w:top w:type="dxa" w:w="60"/>
              <w:left w:type="dxa" w:w="80"/>
              <w:bottom w:type="dxa" w:w="60"/>
              <w:right w:type="dxa" w:w="80"/>
            </w:tcMar>
          </w:tcPr>
          <w:p>
            <w:r>
              <w:rPr>
                <w:b/>
                <w:bCs/>
                <w:color w:val="FFFFFF"/>
                <w:sz w:val="20"/>
                <w:szCs w:val="20"/>
              </w:rPr>
              <w:t xml:space="preserve">% of Implementation</w:t>
            </w:r>
          </w:p>
        </w:tc>
        <w:tc>
          <w:tcPr>
            <w:shd w:fill="004898" w:val="clear"/>
            <w:tcMar>
              <w:top w:type="dxa" w:w="60"/>
              <w:left w:type="dxa" w:w="80"/>
              <w:bottom w:type="dxa" w:w="60"/>
              <w:right w:type="dxa" w:w="80"/>
            </w:tcMar>
          </w:tcPr>
          <w:p>
            <w:r>
              <w:rPr>
                <w:b/>
                <w:bCs/>
                <w:color w:val="FFFFFF"/>
                <w:sz w:val="20"/>
                <w:szCs w:val="20"/>
              </w:rPr>
              <w:t xml:space="preserve">Value (excl. VAT)</w:t>
            </w:r>
          </w:p>
        </w:tc>
      </w:tr>
      <w:tr>
        <w:tc>
          <w:tcPr>
            <w:tcMar>
              <w:top w:type="dxa" w:w="50"/>
              <w:left w:type="dxa" w:w="80"/>
              <w:bottom w:type="dxa" w:w="50"/>
              <w:right w:type="dxa" w:w="80"/>
            </w:tcMar>
          </w:tcPr>
          <w:p>
            <w:r>
              <w:rPr>
                <w:color w:val="1F2937"/>
                <w:sz w:val="19"/>
                <w:szCs w:val="19"/>
              </w:rPr>
              <w:t xml:space="preserve">Contract signature &amp; mobilisation</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Business Process Analysis sign-off</w:t>
            </w:r>
          </w:p>
        </w:tc>
        <w:tc>
          <w:tcPr>
            <w:shd w:fill="F3F4F6" w:val="clear"/>
            <w:tcMar>
              <w:top w:type="dxa" w:w="50"/>
              <w:left w:type="dxa" w:w="80"/>
              <w:bottom w:type="dxa" w:w="50"/>
              <w:right w:type="dxa" w:w="80"/>
            </w:tcMar>
          </w:tcPr>
          <w:p>
            <w:r>
              <w:rPr>
                <w:color w:val="1F2937"/>
                <w:sz w:val="19"/>
                <w:szCs w:val="19"/>
              </w:rPr>
              <w:t xml:space="preserve">10%</w:t>
            </w:r>
          </w:p>
        </w:tc>
        <w:tc>
          <w:tcPr>
            <w:shd w:fill="F3F4F6" w:val="clear"/>
            <w:tcMar>
              <w:top w:type="dxa" w:w="50"/>
              <w:left w:type="dxa" w:w="80"/>
              <w:bottom w:type="dxa" w:w="50"/>
              <w:right w:type="dxa" w:w="80"/>
            </w:tcMar>
          </w:tcPr>
          <w:p>
            <w:r>
              <w:rPr>
                <w:color w:val="1F2937"/>
                <w:sz w:val="19"/>
                <w:szCs w:val="19"/>
              </w:rPr>
              <w:t xml:space="preserve">R 2 498 000</w:t>
            </w:r>
          </w:p>
        </w:tc>
      </w:tr>
      <w:tr>
        <w:tc>
          <w:tcPr>
            <w:tcMar>
              <w:top w:type="dxa" w:w="50"/>
              <w:left w:type="dxa" w:w="80"/>
              <w:bottom w:type="dxa" w:w="50"/>
              <w:right w:type="dxa" w:w="80"/>
            </w:tcMar>
          </w:tcPr>
          <w:p>
            <w:r>
              <w:rPr>
                <w:color w:val="1F2937"/>
                <w:sz w:val="19"/>
                <w:szCs w:val="19"/>
              </w:rPr>
              <w:t xml:space="preserve">Solution design approval</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Build, configure &amp; test complete</w:t>
            </w:r>
          </w:p>
        </w:tc>
        <w:tc>
          <w:tcPr>
            <w:shd w:fill="F3F4F6" w:val="clear"/>
            <w:tcMar>
              <w:top w:type="dxa" w:w="50"/>
              <w:left w:type="dxa" w:w="80"/>
              <w:bottom w:type="dxa" w:w="50"/>
              <w:right w:type="dxa" w:w="80"/>
            </w:tcMar>
          </w:tcPr>
          <w:p>
            <w:r>
              <w:rPr>
                <w:color w:val="1F2937"/>
                <w:sz w:val="19"/>
                <w:szCs w:val="19"/>
              </w:rPr>
              <w:t xml:space="preserve">25%</w:t>
            </w:r>
          </w:p>
        </w:tc>
        <w:tc>
          <w:tcPr>
            <w:shd w:fill="F3F4F6" w:val="clear"/>
            <w:tcMar>
              <w:top w:type="dxa" w:w="50"/>
              <w:left w:type="dxa" w:w="80"/>
              <w:bottom w:type="dxa" w:w="50"/>
              <w:right w:type="dxa" w:w="80"/>
            </w:tcMar>
          </w:tcPr>
          <w:p>
            <w:r>
              <w:rPr>
                <w:color w:val="1F2937"/>
                <w:sz w:val="19"/>
                <w:szCs w:val="19"/>
              </w:rPr>
              <w:t xml:space="preserve">R 6 245 000</w:t>
            </w:r>
          </w:p>
        </w:tc>
      </w:tr>
      <w:tr>
        <w:tc>
          <w:tcPr>
            <w:tcMar>
              <w:top w:type="dxa" w:w="50"/>
              <w:left w:type="dxa" w:w="80"/>
              <w:bottom w:type="dxa" w:w="50"/>
              <w:right w:type="dxa" w:w="80"/>
            </w:tcMar>
          </w:tcPr>
          <w:p>
            <w:r>
              <w:rPr>
                <w:color w:val="1F2937"/>
                <w:sz w:val="19"/>
                <w:szCs w:val="19"/>
              </w:rPr>
              <w:t xml:space="preserve">Data migration &amp; UAT sign-off</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Production go-live</w:t>
            </w:r>
          </w:p>
        </w:tc>
        <w:tc>
          <w:tcPr>
            <w:shd w:fill="F3F4F6" w:val="clear"/>
            <w:tcMar>
              <w:top w:type="dxa" w:w="50"/>
              <w:left w:type="dxa" w:w="80"/>
              <w:bottom w:type="dxa" w:w="50"/>
              <w:right w:type="dxa" w:w="80"/>
            </w:tcMar>
          </w:tcPr>
          <w:p>
            <w:r>
              <w:rPr>
                <w:color w:val="1F2937"/>
                <w:sz w:val="19"/>
                <w:szCs w:val="19"/>
              </w:rPr>
              <w:t xml:space="preserve">15%</w:t>
            </w:r>
          </w:p>
        </w:tc>
        <w:tc>
          <w:tcPr>
            <w:shd w:fill="F3F4F6" w:val="clear"/>
            <w:tcMar>
              <w:top w:type="dxa" w:w="50"/>
              <w:left w:type="dxa" w:w="80"/>
              <w:bottom w:type="dxa" w:w="50"/>
              <w:right w:type="dxa" w:w="80"/>
            </w:tcMar>
          </w:tcPr>
          <w:p>
            <w:r>
              <w:rPr>
                <w:color w:val="1F2937"/>
                <w:sz w:val="19"/>
                <w:szCs w:val="19"/>
              </w:rPr>
              <w:t xml:space="preserve">R 3 747 000</w:t>
            </w:r>
          </w:p>
        </w:tc>
      </w:tr>
      <w:tr>
        <w:tc>
          <w:tcPr>
            <w:tcMar>
              <w:top w:type="dxa" w:w="50"/>
              <w:left w:type="dxa" w:w="80"/>
              <w:bottom w:type="dxa" w:w="50"/>
              <w:right w:type="dxa" w:w="80"/>
            </w:tcMar>
          </w:tcPr>
          <w:p>
            <w:r>
              <w:rPr>
                <w:color w:val="1F2937"/>
                <w:sz w:val="19"/>
                <w:szCs w:val="19"/>
              </w:rPr>
              <w:t xml:space="preserve">Stabilisation &amp; final acceptance</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Total</w:t>
            </w:r>
          </w:p>
        </w:tc>
        <w:tc>
          <w:tcPr>
            <w:shd w:fill="F3F4F6" w:val="clear"/>
            <w:tcMar>
              <w:top w:type="dxa" w:w="50"/>
              <w:left w:type="dxa" w:w="80"/>
              <w:bottom w:type="dxa" w:w="50"/>
              <w:right w:type="dxa" w:w="80"/>
            </w:tcMar>
          </w:tcPr>
          <w:p>
            <w:r>
              <w:rPr>
                <w:color w:val="1F2937"/>
                <w:sz w:val="19"/>
                <w:szCs w:val="19"/>
              </w:rPr>
              <w:t xml:space="preserve">100%</w:t>
            </w:r>
          </w:p>
        </w:tc>
        <w:tc>
          <w:tcPr>
            <w:shd w:fill="F3F4F6" w:val="clear"/>
            <w:tcMar>
              <w:top w:type="dxa" w:w="50"/>
              <w:left w:type="dxa" w:w="80"/>
              <w:bottom w:type="dxa" w:w="50"/>
              <w:right w:type="dxa" w:w="80"/>
            </w:tcMar>
          </w:tcPr>
          <w:p>
            <w:r>
              <w:rPr>
                <w:color w:val="1F2937"/>
                <w:sz w:val="19"/>
                <w:szCs w:val="19"/>
              </w:rPr>
              <w:t xml:space="preserve">R 24 980 000</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2371a8617c518477b4afee6dcca7421652779.png"/><Relationship Id="rId8" Type="http://schemas.openxmlformats.org/officeDocument/2006/relationships/image" Target="media/fff6fffecb0c220c3c80ccab5f633412b32ceb95.png"/><Relationship Id="rId9" Type="http://schemas.openxmlformats.org/officeDocument/2006/relationships/image" Target="media/3d24e2e30ba204d561c9569a3846fe2e6be00d2d.png"/><Relationship Id="rId10" Type="http://schemas.openxmlformats.org/officeDocument/2006/relationships/image" Target="media/0ba6113ed025a1646e59fc23f6578bdada7c8c46.png"/><Relationship Id="rId11" Type="http://schemas.openxmlformats.org/officeDocument/2006/relationships/image" Target="media/feace5a02ad4cd8574b2af4608bc941f00cfc599.png"/><Relationship Id="rId12" Type="http://schemas.openxmlformats.org/officeDocument/2006/relationships/image" Target="media/0596d841fe9d77545926a0cb851265f1c462c1d8.png"/><Relationship Id="rId13" Type="http://schemas.openxmlformats.org/officeDocument/2006/relationships/image" Target="media/462bbcf3386c77ccc10a66e3a52f8ca0d5987c63.png"/><Relationship Id="rId14" Type="http://schemas.openxmlformats.org/officeDocument/2006/relationships/image" Target="media/a7f070c40d7a33399e72aa51116a81e0e9dc7323.png"/><Relationship Id="rId15" Type="http://schemas.openxmlformats.org/officeDocument/2006/relationships/image" Target="media/d7b173ae2f170c2ff9732a217933dd3a6d35dc54.png"/><Relationship Id="rId16" Type="http://schemas.openxmlformats.org/officeDocument/2006/relationships/image" Target="media/cf59962a9c8bd5f4a27a1b3970d5d8002f923c04.png"/><Relationship Id="rId17" Type="http://schemas.openxmlformats.org/officeDocument/2006/relationships/image" Target="media/0b7505ea59b29d18f33cc4d97b5cd1efda33f919.png"/><Relationship Id="rId18" Type="http://schemas.openxmlformats.org/officeDocument/2006/relationships/image" Target="media/f49991385dfe7b4e523132f230a0a7718b9b7082.png"/><Relationship Id="rId19" Type="http://schemas.openxmlformats.org/officeDocument/2006/relationships/image" Target="media/82c4dab1b808700670b3b4316f3554186e12592d.png"/><Relationship Id="rId20" Type="http://schemas.openxmlformats.org/officeDocument/2006/relationships/image" Target="media/23011c05fee44b06dfd445718e8abea52f949b62.png"/><Relationship Id="rId21" Type="http://schemas.openxmlformats.org/officeDocument/2006/relationships/image" Target="media/f9534711e7f8597fa378061d0f84e52b2575a1a5.png"/><Relationship Id="rId22" Type="http://schemas.openxmlformats.org/officeDocument/2006/relationships/image" Target="media/c759d5d1050ed058889007b21ef2d61772b61205.png"/><Relationship Id="rId23" Type="http://schemas.openxmlformats.org/officeDocument/2006/relationships/image" Target="media/51a8fb89c4c2989e6b863f846be5b77d3dd58141.png"/><Relationship Id="rId24" Type="http://schemas.openxmlformats.org/officeDocument/2006/relationships/image" Target="media/1283b7fa1e498e286ada60ac2e637db86b8b240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2026-09-08T19:03:55.837Z</dcterms:created>
  <dcterms:modified xsi:type="dcterms:W3CDTF">2026-09-08T19:03:55.841Z</dcterms:modified>
</cp:coreProperties>
</file>

<file path=docProps/custom.xml><?xml version="1.0" encoding="utf-8"?>
<Properties xmlns="http://schemas.openxmlformats.org/officeDocument/2006/custom-properties" xmlns:vt="http://schemas.openxmlformats.org/officeDocument/2006/docPropsVTypes"/>
</file>