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DRAFT — Farmer Portal visual design built and attached for review (farmer_portal_visual.html); Buyer, Vendor, and Internal Operations remain Stage 3 low-fi pending sign-off on this direction, per the workflow guide's “one portal at a time.”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(not yet built)</w:t>
      </w:r>
    </w:p>
    <w:p>
      <w:r>
        <w:rPr>
          <w:b w:val="0"/>
          <w:i w:val="0"/>
        </w:rPr>
        <w:t>Deferred until the Farmer Portal direction above is reviewed, per the workflow guide's “one portal, one stage at a time” — asking for all four portals' visual design in one pass risks reworking all four if the direction needs a correction after the first review.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If the Deep Green &amp; Maize Gold direction is approved as applied to the Farmer Portal, the same system rolls forward to Buyer, Vendor, and Internal Operations using the “dense” component rules in Section 7 with no further brand decisions needed.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