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FARM MASTER</w:t>
      </w:r>
    </w:p>
    <w:p>
      <w:r>
        <w:rPr>
          <w:b w:val="0"/>
          <w:i w:val="0"/>
        </w:rPr>
        <w:t>STYLE GUIDE / DESIGN SYSTEM</w:t>
      </w:r>
    </w:p>
    <w:p>
      <w:r>
        <w:rPr>
          <w:b w:val="0"/>
          <w:i w:val="0"/>
        </w:rPr>
        <w:t>Stage 4 — Visual UI Design</w:t>
      </w:r>
    </w:p>
    <w:p>
      <w:r>
        <w:rPr>
          <w:b w:val="0"/>
          <w:i w:val="0"/>
        </w:rPr>
        <w:t>Prepared for: Farm Master Ghana Limited (Tema, Greater Accra Region)</w:t>
      </w:r>
    </w:p>
    <w:p>
      <w:r>
        <w:rPr>
          <w:b w:val="0"/>
          <w:i w:val="0"/>
        </w:rPr>
        <w:t>Builds on: Farm_Master_PRD_Stage1.docx (Section 5.1) · Farm_Master_IA_Stage2.docx (Section 9) · Stage 3 Wireframes</w:t>
      </w:r>
    </w:p>
    <w:p>
      <w:r>
        <w:rPr>
          <w:b w:val="0"/>
          <w:i w:val="0"/>
        </w:rPr>
        <w:t>Date: 3 September 2026</w:t>
      </w:r>
    </w:p>
    <w:p>
      <w:r>
        <w:rPr>
          <w:b w:val="0"/>
          <w:i w:val="0"/>
        </w:rPr>
        <w:t>Status: APPROVED — Deep Green &amp; Maize Gold approved by Emmanuel as applied to the Farmer Portal (3 September 2026); the same system has since been rolled out to Buyer, Vendor, and Internal Operations using the dense treatment (Section 7). All four portals now have a Stage 4 visual design file in Stage 4 Visual Design/.</w:t>
      </w:r>
    </w:p>
    <w:p>
      <w:pPr>
        <w:pStyle w:val="Heading1"/>
      </w:pPr>
      <w:r>
        <w:t>1. Purpose of This Document</w:t>
      </w:r>
    </w:p>
    <w:p>
      <w:r>
        <w:rPr>
          <w:b w:val="0"/>
          <w:i w:val="0"/>
        </w:rPr>
        <w:t>This is the Stage 4 deliverable per the workflow guide: colors, typography, spacing, and component rules, with the variation the guide calls for between a lightweight Farmer Portal treatment and a denser Buyer/Vendor/Control Centre treatment. It carries forward the confirmed Stage 3 breakpoints and per-portal device priorities (PRD Section 5.1) rather than restating them — this document is about how things look, not how they resize.</w:t>
      </w:r>
    </w:p>
    <w:p>
      <w:pPr>
        <w:pStyle w:val="Heading1"/>
      </w:pPr>
      <w:r>
        <w:t>2. Brand Direction</w:t>
      </w:r>
    </w:p>
    <w:p>
      <w:r>
        <w:rPr>
          <w:b w:val="0"/>
          <w:i w:val="0"/>
        </w:rPr>
        <w:t>Deep Green &amp; Maize Gold — confirmed by Emmanuel, 3 September 2026, from three directions presented (the alternatives were Earth &amp; Cocoa Tones and Modern Agritech Teal).</w:t>
      </w:r>
    </w:p>
    <w:p>
      <w:pPr>
        <w:pStyle w:val="ListBullet"/>
      </w:pPr>
      <w:r>
        <w:t>Deep green as the primary color: growth, trust, and trade — reads as institutional enough for the MoFA-linked buyer relationship without losing warmth.</w:t>
      </w:r>
    </w:p>
    <w:p>
      <w:pPr>
        <w:pStyle w:val="ListBullet"/>
      </w:pPr>
      <w:r>
        <w:t>Maize gold as the accent: ties directly to the pilot crop and is reserved for calls-to-action and active/highlighted states, so it stays meaningful rather than decorative.</w:t>
      </w:r>
    </w:p>
    <w:p>
      <w:pPr>
        <w:pStyle w:val="ListBullet"/>
      </w:pPr>
      <w:r>
        <w:t>Warm, slightly green-tinted neutrals rather than clinical grey — avoids reading as a generic SaaS product and keeps the “rooted in Ghanaian agriculture” brief.</w:t>
      </w:r>
    </w:p>
    <w:p>
      <w:pPr>
        <w:pStyle w:val="Heading1"/>
      </w:pPr>
      <w:r>
        <w:t>3. Color Palette</w:t>
      </w:r>
    </w:p>
    <w:p>
      <w:r>
        <w:rPr>
          <w:b w:val="0"/>
          <w:i w:val="0"/>
        </w:rPr>
        <w:t>Light mode (default):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Hex</w:t>
            </w:r>
          </w:p>
        </w:tc>
        <w:tc>
          <w:tcPr>
            <w:tcW w:type="dxa" w:w="57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1440"/>
            <w:shd w:val="clear" w:fill="1F5E3D"/>
          </w:tcPr>
          <w:p>
            <w:r>
              <w:rPr>
                <w:color w:val="FFFFFF"/>
              </w:rPr>
              <w:t>#1F5E3D</w:t>
            </w:r>
          </w:p>
        </w:tc>
        <w:tc>
          <w:tcPr>
            <w:tcW w:type="dxa" w:w="5760"/>
          </w:tcPr>
          <w:p>
            <w:r>
              <w:t>Brand color — headers, primary nav, primary text on light surfaces</w:t>
            </w:r>
          </w:p>
        </w:tc>
      </w:tr>
      <w:tr>
        <w:tc>
          <w:tcPr>
            <w:tcW w:type="dxa" w:w="2160"/>
          </w:tcPr>
          <w:p>
            <w:r>
              <w:t>Primary Dark</w:t>
            </w:r>
          </w:p>
        </w:tc>
        <w:tc>
          <w:tcPr>
            <w:tcW w:type="dxa" w:w="1440"/>
            <w:shd w:val="clear" w:fill="143D28"/>
          </w:tcPr>
          <w:p>
            <w:r>
              <w:rPr>
                <w:color w:val="FFFFFF"/>
              </w:rPr>
              <w:t>#143D28</w:t>
            </w:r>
          </w:p>
        </w:tc>
        <w:tc>
          <w:tcPr>
            <w:tcW w:type="dxa" w:w="5760"/>
          </w:tcPr>
          <w:p>
            <w:r>
              <w:t>Hover/pressed states, high-emphasis text on light backgrounds</w:t>
            </w:r>
          </w:p>
        </w:tc>
      </w:tr>
      <w:tr>
        <w:tc>
          <w:tcPr>
            <w:tcW w:type="dxa" w:w="2160"/>
          </w:tcPr>
          <w:p>
            <w:r>
              <w:t>Accent Gold</w:t>
            </w:r>
          </w:p>
        </w:tc>
        <w:tc>
          <w:tcPr>
            <w:tcW w:type="dxa" w:w="1440"/>
            <w:shd w:val="clear" w:fill="E8A83C"/>
          </w:tcPr>
          <w:p>
            <w:r>
              <w:rPr>
                <w:color w:val="000000"/>
              </w:rPr>
              <w:t>#E8A83C</w:t>
            </w:r>
          </w:p>
        </w:tc>
        <w:tc>
          <w:tcPr>
            <w:tcW w:type="dxa" w:w="5760"/>
          </w:tcPr>
          <w:p>
            <w:r>
              <w:t>Primary CTAs, active states, highlighted/in-progress badges</w:t>
            </w:r>
          </w:p>
        </w:tc>
      </w:tr>
      <w:tr>
        <w:tc>
          <w:tcPr>
            <w:tcW w:type="dxa" w:w="2160"/>
          </w:tcPr>
          <w:p>
            <w:r>
              <w:t>Accent Gold Dark</w:t>
            </w:r>
          </w:p>
        </w:tc>
        <w:tc>
          <w:tcPr>
            <w:tcW w:type="dxa" w:w="1440"/>
            <w:shd w:val="clear" w:fill="C98A22"/>
          </w:tcPr>
          <w:p>
            <w:r>
              <w:rPr>
                <w:color w:val="000000"/>
              </w:rPr>
              <w:t>#C98A22</w:t>
            </w:r>
          </w:p>
        </w:tc>
        <w:tc>
          <w:tcPr>
            <w:tcW w:type="dxa" w:w="5760"/>
          </w:tcPr>
          <w:p>
            <w:r>
              <w:t>Hover/pressed state for gold CTAs</w:t>
            </w:r>
          </w:p>
        </w:tc>
      </w:tr>
      <w:tr>
        <w:tc>
          <w:tcPr>
            <w:tcW w:type="dxa" w:w="2160"/>
          </w:tcPr>
          <w:p>
            <w:r>
              <w:t>Ink (text)</w:t>
            </w:r>
          </w:p>
        </w:tc>
        <w:tc>
          <w:tcPr>
            <w:tcW w:type="dxa" w:w="1440"/>
            <w:shd w:val="clear" w:fill="1A1F1B"/>
          </w:tcPr>
          <w:p>
            <w:r>
              <w:rPr>
                <w:color w:val="FFFFFF"/>
              </w:rPr>
              <w:t>#1A1F1B</w:t>
            </w:r>
          </w:p>
        </w:tc>
        <w:tc>
          <w:tcPr>
            <w:tcW w:type="dxa" w:w="5760"/>
          </w:tcPr>
          <w:p>
            <w:r>
              <w:t>Primary body text</w:t>
            </w:r>
          </w:p>
        </w:tc>
      </w:tr>
      <w:tr>
        <w:tc>
          <w:tcPr>
            <w:tcW w:type="dxa" w:w="2160"/>
          </w:tcPr>
          <w:p>
            <w:r>
              <w:t>Text Muted</w:t>
            </w:r>
          </w:p>
        </w:tc>
        <w:tc>
          <w:tcPr>
            <w:tcW w:type="dxa" w:w="1440"/>
            <w:shd w:val="clear" w:fill="5B6B5E"/>
          </w:tcPr>
          <w:p>
            <w:r>
              <w:rPr>
                <w:color w:val="FFFFFF"/>
              </w:rPr>
              <w:t>#5B6B5E</w:t>
            </w:r>
          </w:p>
        </w:tc>
        <w:tc>
          <w:tcPr>
            <w:tcW w:type="dxa" w:w="5760"/>
          </w:tcPr>
          <w:p>
            <w:r>
              <w:t>Secondary text, captions, labels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1440"/>
            <w:shd w:val="clear" w:fill="F7F8F4"/>
          </w:tcPr>
          <w:p>
            <w:r>
              <w:rPr>
                <w:color w:val="000000"/>
              </w:rPr>
              <w:t>#F7F8F4</w:t>
            </w:r>
          </w:p>
        </w:tc>
        <w:tc>
          <w:tcPr>
            <w:tcW w:type="dxa" w:w="5760"/>
          </w:tcPr>
          <w:p>
            <w:r>
              <w:t>Page background — warm, slightly green-tinted off-white</w:t>
            </w:r>
          </w:p>
        </w:tc>
      </w:tr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1440"/>
            <w:shd w:val="clear" w:fill="FFFFFF"/>
          </w:tcPr>
          <w:p>
            <w:r>
              <w:rPr>
                <w:color w:val="000000"/>
              </w:rPr>
              <w:t>#FFFFFF</w:t>
            </w:r>
          </w:p>
        </w:tc>
        <w:tc>
          <w:tcPr>
            <w:tcW w:type="dxa" w:w="5760"/>
          </w:tcPr>
          <w:p>
            <w:r>
              <w:t>Cards, panels, input fields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1440"/>
            <w:shd w:val="clear" w:fill="DDE3D9"/>
          </w:tcPr>
          <w:p>
            <w:r>
              <w:rPr>
                <w:color w:val="000000"/>
              </w:rPr>
              <w:t>#DDE3D9</w:t>
            </w:r>
          </w:p>
        </w:tc>
        <w:tc>
          <w:tcPr>
            <w:tcW w:type="dxa" w:w="5760"/>
          </w:tcPr>
          <w:p>
            <w:r>
              <w:t>Dividers, card borders, input borders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1440"/>
            <w:shd w:val="clear" w:fill="2F9E44"/>
          </w:tcPr>
          <w:p>
            <w:r>
              <w:rPr>
                <w:color w:val="FFFFFF"/>
              </w:rPr>
              <w:t>#2F9E44</w:t>
            </w:r>
          </w:p>
        </w:tc>
        <w:tc>
          <w:tcPr>
            <w:tcW w:type="dxa" w:w="5760"/>
          </w:tcPr>
          <w:p>
            <w:r>
              <w:t>Delivered / confirmed / paid states</w:t>
            </w:r>
          </w:p>
        </w:tc>
      </w:tr>
      <w:tr>
        <w:tc>
          <w:tcPr>
            <w:tcW w:type="dxa" w:w="2160"/>
          </w:tcPr>
          <w:p>
            <w:r>
              <w:t>Warning / Pending</w:t>
            </w:r>
          </w:p>
        </w:tc>
        <w:tc>
          <w:tcPr>
            <w:tcW w:type="dxa" w:w="1440"/>
            <w:shd w:val="clear" w:fill="E8A83C"/>
          </w:tcPr>
          <w:p>
            <w:r>
              <w:rPr>
                <w:color w:val="000000"/>
              </w:rPr>
              <w:t>#E8A83C</w:t>
            </w:r>
          </w:p>
        </w:tc>
        <w:tc>
          <w:tcPr>
            <w:tcW w:type="dxa" w:w="5760"/>
          </w:tcPr>
          <w:p>
            <w:r>
              <w:t>Awaiting action — shares the gold accent deliberately</w:t>
            </w:r>
          </w:p>
        </w:tc>
      </w:tr>
      <w:tr>
        <w:tc>
          <w:tcPr>
            <w:tcW w:type="dxa" w:w="2160"/>
          </w:tcPr>
          <w:p>
            <w:r>
              <w:t>Danger</w:t>
            </w:r>
          </w:p>
        </w:tc>
        <w:tc>
          <w:tcPr>
            <w:tcW w:type="dxa" w:w="1440"/>
            <w:shd w:val="clear" w:fill="C0392B"/>
          </w:tcPr>
          <w:p>
            <w:r>
              <w:rPr>
                <w:color w:val="FFFFFF"/>
              </w:rPr>
              <w:t>#C0392B</w:t>
            </w:r>
          </w:p>
        </w:tc>
        <w:tc>
          <w:tcPr>
            <w:tcW w:type="dxa" w:w="5760"/>
          </w:tcPr>
          <w:p>
            <w:r>
              <w:t>Errors, rejected grade, overdue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1440"/>
            <w:shd w:val="clear" w:fill="3B6E8F"/>
          </w:tcPr>
          <w:p>
            <w:r>
              <w:rPr>
                <w:color w:val="FFFFFF"/>
              </w:rPr>
              <w:t>#3B6E8F</w:t>
            </w:r>
          </w:p>
        </w:tc>
        <w:tc>
          <w:tcPr>
            <w:tcW w:type="dxa" w:w="5760"/>
          </w:tcPr>
          <w:p>
            <w:r>
              <w:t>MoFA / compliance-related tags, kept visually distinct from the brand palette</w:t>
            </w:r>
          </w:p>
        </w:tc>
      </w:tr>
    </w:tbl>
    <w:p>
      <w:r>
        <w:rPr>
          <w:b w:val="0"/>
          <w:i w:val="0"/>
        </w:rPr>
        <w:t>Dark mode (system preference or explicit toggle):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Hex</w:t>
            </w:r>
          </w:p>
        </w:tc>
        <w:tc>
          <w:tcPr>
            <w:tcW w:type="dxa" w:w="57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1440"/>
            <w:shd w:val="clear" w:fill="7FBF9E"/>
          </w:tcPr>
          <w:p>
            <w:r>
              <w:rPr>
                <w:color w:val="000000"/>
              </w:rPr>
              <w:t>#7FBF9E</w:t>
            </w:r>
          </w:p>
        </w:tc>
        <w:tc>
          <w:tcPr>
            <w:tcW w:type="dxa" w:w="5760"/>
          </w:tcPr>
          <w:p>
            <w:r>
              <w:t>Brand color on dark surfaces — lightened for contrast, not the light-mode green inverted</w:t>
            </w:r>
          </w:p>
        </w:tc>
      </w:tr>
      <w:tr>
        <w:tc>
          <w:tcPr>
            <w:tcW w:type="dxa" w:w="2160"/>
          </w:tcPr>
          <w:p>
            <w:r>
              <w:t>Accent Gold</w:t>
            </w:r>
          </w:p>
        </w:tc>
        <w:tc>
          <w:tcPr>
            <w:tcW w:type="dxa" w:w="1440"/>
            <w:shd w:val="clear" w:fill="F0BC63"/>
          </w:tcPr>
          <w:p>
            <w:r>
              <w:rPr>
                <w:color w:val="000000"/>
              </w:rPr>
              <w:t>#F0BC63</w:t>
            </w:r>
          </w:p>
        </w:tc>
        <w:tc>
          <w:tcPr>
            <w:tcW w:type="dxa" w:w="5760"/>
          </w:tcPr>
          <w:p>
            <w:r>
              <w:t>Slightly lightened for AA contrast on dark backgrounds</w:t>
            </w:r>
          </w:p>
        </w:tc>
      </w:tr>
      <w:tr>
        <w:tc>
          <w:tcPr>
            <w:tcW w:type="dxa" w:w="2160"/>
          </w:tcPr>
          <w:p>
            <w:r>
              <w:t>Ink (text)</w:t>
            </w:r>
          </w:p>
        </w:tc>
        <w:tc>
          <w:tcPr>
            <w:tcW w:type="dxa" w:w="1440"/>
            <w:shd w:val="clear" w:fill="EAF0EA"/>
          </w:tcPr>
          <w:p>
            <w:r>
              <w:rPr>
                <w:color w:val="000000"/>
              </w:rPr>
              <w:t>#EAF0EA</w:t>
            </w:r>
          </w:p>
        </w:tc>
        <w:tc>
          <w:tcPr>
            <w:tcW w:type="dxa" w:w="5760"/>
          </w:tcPr>
          <w:p>
            <w:r>
              <w:t>Primary body text</w:t>
            </w:r>
          </w:p>
        </w:tc>
      </w:tr>
      <w:tr>
        <w:tc>
          <w:tcPr>
            <w:tcW w:type="dxa" w:w="2160"/>
          </w:tcPr>
          <w:p>
            <w:r>
              <w:t>Text Muted</w:t>
            </w:r>
          </w:p>
        </w:tc>
        <w:tc>
          <w:tcPr>
            <w:tcW w:type="dxa" w:w="1440"/>
            <w:shd w:val="clear" w:fill="9BAA9D"/>
          </w:tcPr>
          <w:p>
            <w:r>
              <w:rPr>
                <w:color w:val="000000"/>
              </w:rPr>
              <w:t>#9BAA9D</w:t>
            </w:r>
          </w:p>
        </w:tc>
        <w:tc>
          <w:tcPr>
            <w:tcW w:type="dxa" w:w="5760"/>
          </w:tcPr>
          <w:p>
            <w:r>
              <w:t>Secondary text, captions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1440"/>
            <w:shd w:val="clear" w:fill="12160F"/>
          </w:tcPr>
          <w:p>
            <w:r>
              <w:rPr>
                <w:color w:val="FFFFFF"/>
              </w:rPr>
              <w:t>#12160F</w:t>
            </w:r>
          </w:p>
        </w:tc>
        <w:tc>
          <w:tcPr>
            <w:tcW w:type="dxa" w:w="5760"/>
          </w:tcPr>
          <w:p>
            <w:r>
              <w:t>Page background</w:t>
            </w:r>
          </w:p>
        </w:tc>
      </w:tr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1440"/>
            <w:shd w:val="clear" w:fill="1B211A"/>
          </w:tcPr>
          <w:p>
            <w:r>
              <w:rPr>
                <w:color w:val="FFFFFF"/>
              </w:rPr>
              <w:t>#1B211A</w:t>
            </w:r>
          </w:p>
        </w:tc>
        <w:tc>
          <w:tcPr>
            <w:tcW w:type="dxa" w:w="5760"/>
          </w:tcPr>
          <w:p>
            <w:r>
              <w:t>Cards, panels, input fields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1440"/>
            <w:shd w:val="clear" w:fill="2C342A"/>
          </w:tcPr>
          <w:p>
            <w:r>
              <w:rPr>
                <w:color w:val="FFFFFF"/>
              </w:rPr>
              <w:t>#2C342A</w:t>
            </w:r>
          </w:p>
        </w:tc>
        <w:tc>
          <w:tcPr>
            <w:tcW w:type="dxa" w:w="5760"/>
          </w:tcPr>
          <w:p>
            <w:r>
              <w:t>Dividers, card borders</w:t>
            </w:r>
          </w:p>
        </w:tc>
      </w:tr>
    </w:tbl>
    <w:p>
      <w:r>
        <w:rPr>
          <w:b w:val="0"/>
          <w:i/>
        </w:rPr>
        <w:t>Every token above is a CSS custom property, not a hard-coded value in any screen — the same pattern already used in the Stage 3 wireframe files, so the switch from grayscale placeholder tokens to real brand colors did not require touching any layout rule.</w:t>
      </w:r>
    </w:p>
    <w:p>
      <w:pPr>
        <w:pStyle w:val="Heading1"/>
      </w:pPr>
      <w:r>
        <w:t>4. Typography</w:t>
      </w:r>
    </w:p>
    <w:p>
      <w:r>
        <w:rPr>
          <w:b w:val="0"/>
          <w:i w:val="0"/>
        </w:rPr>
        <w:t>Single font family — Manrope, weights 400/500/600/700/800 — used for both headings and body text. This is a deliberate choice, not a shortcut: the Farmer Portal brief (Stage 4, workflow guide) calls for minimal asset weight given entry-level Android phones and inconsistent data access, and loading one variable-weight family costs less than pairing a display face with a separate body face. Manrope still reads as distinct from the default system font, so the brand doesn't disappear into “generic app.”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Line height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1872"/>
          </w:tcPr>
          <w:p>
            <w:r>
              <w:t>Display</w:t>
            </w:r>
          </w:p>
        </w:tc>
        <w:tc>
          <w:tcPr>
            <w:tcW w:type="dxa" w:w="1296"/>
          </w:tcPr>
          <w:p>
            <w:r>
              <w:t>28px</w:t>
            </w:r>
          </w:p>
        </w:tc>
        <w:tc>
          <w:tcPr>
            <w:tcW w:type="dxa" w:w="1296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3456"/>
          </w:tcPr>
          <w:p>
            <w:r>
              <w:t>Screen titles (topbar h1)</w:t>
            </w:r>
          </w:p>
        </w:tc>
      </w:tr>
      <w:tr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296"/>
          </w:tcPr>
          <w:p>
            <w:r>
              <w:t>20px</w:t>
            </w:r>
          </w:p>
        </w:tc>
        <w:tc>
          <w:tcPr>
            <w:tcW w:type="dxa" w:w="1296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3456"/>
          </w:tcPr>
          <w:p>
            <w:r>
              <w:t>Section titles within a screen</w:t>
            </w:r>
          </w:p>
        </w:tc>
      </w:tr>
      <w:tr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296"/>
          </w:tcPr>
          <w:p>
            <w:r>
              <w:t>16px</w:t>
            </w:r>
          </w:p>
        </w:tc>
        <w:tc>
          <w:tcPr>
            <w:tcW w:type="dxa" w:w="1296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3456"/>
          </w:tcPr>
          <w:p>
            <w:r>
              <w:t>Card / panel labels</w:t>
            </w:r>
          </w:p>
        </w:tc>
      </w:tr>
      <w:tr>
        <w:tc>
          <w:tcPr>
            <w:tcW w:type="dxa" w:w="1872"/>
          </w:tcPr>
          <w:p>
            <w:r>
              <w:t>Body</w:t>
            </w:r>
          </w:p>
        </w:tc>
        <w:tc>
          <w:tcPr>
            <w:tcW w:type="dxa" w:w="1296"/>
          </w:tcPr>
          <w:p>
            <w:r>
              <w:t>16px</w:t>
            </w:r>
          </w:p>
        </w:tc>
        <w:tc>
          <w:tcPr>
            <w:tcW w:type="dxa" w:w="1296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3456"/>
          </w:tcPr>
          <w:p>
            <w:r>
              <w:t>Primary reading text — raised from the 12.5–13px wireframe placeholder size specifically for the Farmer Portal's varying-literacy requirement</w:t>
            </w:r>
          </w:p>
        </w:tc>
      </w:tr>
      <w:tr>
        <w:tc>
          <w:tcPr>
            <w:tcW w:type="dxa" w:w="1872"/>
          </w:tcPr>
          <w:p>
            <w:r>
              <w:t>Small / caption</w:t>
            </w:r>
          </w:p>
        </w:tc>
        <w:tc>
          <w:tcPr>
            <w:tcW w:type="dxa" w:w="1296"/>
          </w:tcPr>
          <w:p>
            <w:r>
              <w:t>13px</w:t>
            </w:r>
          </w:p>
        </w:tc>
        <w:tc>
          <w:tcPr>
            <w:tcW w:type="dxa" w:w="1296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3456"/>
          </w:tcPr>
          <w:p>
            <w:r>
              <w:t>Timestamps, helper text, badges</w:t>
            </w:r>
          </w:p>
        </w:tc>
      </w:tr>
    </w:tbl>
    <w:p>
      <w:pPr>
        <w:pStyle w:val="Heading1"/>
      </w:pPr>
      <w:r>
        <w:t>5. Spacing, Layout &amp; Breakpoints</w:t>
      </w:r>
    </w:p>
    <w:p>
      <w:r>
        <w:rPr>
          <w:b w:val="0"/>
          <w:i w:val="0"/>
        </w:rPr>
        <w:t>4px base unit: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6048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1872"/>
          </w:tcPr>
          <w:p>
            <w:r>
              <w:t>space-1</w:t>
            </w:r>
          </w:p>
        </w:tc>
        <w:tc>
          <w:tcPr>
            <w:tcW w:type="dxa" w:w="1440"/>
          </w:tcPr>
          <w:p>
            <w:r>
              <w:t>4px</w:t>
            </w:r>
          </w:p>
        </w:tc>
        <w:tc>
          <w:tcPr>
            <w:tcW w:type="dxa" w:w="6048"/>
          </w:tcPr>
          <w:p>
            <w:r>
              <w:t>Icon-to-label gaps</w:t>
            </w:r>
          </w:p>
        </w:tc>
      </w:tr>
      <w:tr>
        <w:tc>
          <w:tcPr>
            <w:tcW w:type="dxa" w:w="1872"/>
          </w:tcPr>
          <w:p>
            <w:r>
              <w:t>space-2</w:t>
            </w:r>
          </w:p>
        </w:tc>
        <w:tc>
          <w:tcPr>
            <w:tcW w:type="dxa" w:w="1440"/>
          </w:tcPr>
          <w:p>
            <w:r>
              <w:t>8px</w:t>
            </w:r>
          </w:p>
        </w:tc>
        <w:tc>
          <w:tcPr>
            <w:tcW w:type="dxa" w:w="6048"/>
          </w:tcPr>
          <w:p>
            <w:r>
              <w:t>Tight internal padding</w:t>
            </w:r>
          </w:p>
        </w:tc>
      </w:tr>
      <w:tr>
        <w:tc>
          <w:tcPr>
            <w:tcW w:type="dxa" w:w="1872"/>
          </w:tcPr>
          <w:p>
            <w:r>
              <w:t>space-3</w:t>
            </w:r>
          </w:p>
        </w:tc>
        <w:tc>
          <w:tcPr>
            <w:tcW w:type="dxa" w:w="1440"/>
          </w:tcPr>
          <w:p>
            <w:r>
              <w:t>12px</w:t>
            </w:r>
          </w:p>
        </w:tc>
        <w:tc>
          <w:tcPr>
            <w:tcW w:type="dxa" w:w="6048"/>
          </w:tcPr>
          <w:p>
            <w:r>
              <w:t>Default internal card padding</w:t>
            </w:r>
          </w:p>
        </w:tc>
      </w:tr>
      <w:tr>
        <w:tc>
          <w:tcPr>
            <w:tcW w:type="dxa" w:w="1872"/>
          </w:tcPr>
          <w:p>
            <w:r>
              <w:t>space-4</w:t>
            </w:r>
          </w:p>
        </w:tc>
        <w:tc>
          <w:tcPr>
            <w:tcW w:type="dxa" w:w="1440"/>
          </w:tcPr>
          <w:p>
            <w:r>
              <w:t>16px</w:t>
            </w:r>
          </w:p>
        </w:tc>
        <w:tc>
          <w:tcPr>
            <w:tcW w:type="dxa" w:w="6048"/>
          </w:tcPr>
          <w:p>
            <w:r>
              <w:t>Default gap between stacked elements</w:t>
            </w:r>
          </w:p>
        </w:tc>
      </w:tr>
      <w:tr>
        <w:tc>
          <w:tcPr>
            <w:tcW w:type="dxa" w:w="1872"/>
          </w:tcPr>
          <w:p>
            <w:r>
              <w:t>space-6</w:t>
            </w:r>
          </w:p>
        </w:tc>
        <w:tc>
          <w:tcPr>
            <w:tcW w:type="dxa" w:w="1440"/>
          </w:tcPr>
          <w:p>
            <w:r>
              <w:t>24px</w:t>
            </w:r>
          </w:p>
        </w:tc>
        <w:tc>
          <w:tcPr>
            <w:tcW w:type="dxa" w:w="6048"/>
          </w:tcPr>
          <w:p>
            <w:r>
              <w:t>Section separation</w:t>
            </w:r>
          </w:p>
        </w:tc>
      </w:tr>
      <w:tr>
        <w:tc>
          <w:tcPr>
            <w:tcW w:type="dxa" w:w="1872"/>
          </w:tcPr>
          <w:p>
            <w:r>
              <w:t>space-8</w:t>
            </w:r>
          </w:p>
        </w:tc>
        <w:tc>
          <w:tcPr>
            <w:tcW w:type="dxa" w:w="1440"/>
          </w:tcPr>
          <w:p>
            <w:r>
              <w:t>32px</w:t>
            </w:r>
          </w:p>
        </w:tc>
        <w:tc>
          <w:tcPr>
            <w:tcW w:type="dxa" w:w="6048"/>
          </w:tcPr>
          <w:p>
            <w:r>
              <w:t>Screen-level top/side padding on phone</w:t>
            </w:r>
          </w:p>
        </w:tc>
      </w:tr>
      <w:tr>
        <w:tc>
          <w:tcPr>
            <w:tcW w:type="dxa" w:w="1872"/>
          </w:tcPr>
          <w:p>
            <w:r>
              <w:t>space-12</w:t>
            </w:r>
          </w:p>
        </w:tc>
        <w:tc>
          <w:tcPr>
            <w:tcW w:type="dxa" w:w="1440"/>
          </w:tcPr>
          <w:p>
            <w:r>
              <w:t>48px</w:t>
            </w:r>
          </w:p>
        </w:tc>
        <w:tc>
          <w:tcPr>
            <w:tcW w:type="dxa" w:w="6048"/>
          </w:tcPr>
          <w:p>
            <w:r>
              <w:t>Screen-level top/side padding on desktop</w:t>
            </w:r>
          </w:p>
        </w:tc>
      </w:tr>
    </w:tbl>
    <w:p>
      <w:r>
        <w:rPr>
          <w:b w:val="0"/>
          <w:i w:val="0"/>
        </w:rPr>
        <w:t>Breakpoints and touch targets are unchanged from the confirmed Stage 3 spec (PRD Section 5.1) and are not being re-litigated here: Desktop ≥ 1024px · Tablet 768–1023px (iPad/Android tablet) · Phone &lt; 768px (iPhone/Android), all interactive elements ≥ 44px. The visual design in Section 8 keeps the same container-query mechanism and hamburger-nav fallback already built and confirmed in Stage 3 — only the skin changes. The manual desktop/tablet/phone preview toggle used throughout Stage 6 build/QA was removed 9 September 2026 (see Section 9): real layouts now respond automatically to the actual browser viewport, the same as any production site.</w:t>
      </w:r>
    </w:p>
    <w:p>
      <w:pPr>
        <w:pStyle w:val="Heading1"/>
      </w:pPr>
      <w:r>
        <w:t>6. Iconography</w:t>
      </w:r>
    </w:p>
    <w:p>
      <w:r>
        <w:rPr>
          <w:b w:val="0"/>
          <w:i w:val="0"/>
        </w:rPr>
        <w:t>Inline SVG, single 1.75px stroke weight, no filled icon font or external icon library — keeps the Farmer Portal's page weight minimal and works fully offline once the page is loaded, consistent with the offline-tolerant/low-bandwidth requirement (PRD Section 5).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Screen / action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Icon</w:t>
            </w:r>
          </w:p>
        </w:tc>
        <w:tc>
          <w:tcPr>
            <w:tcW w:type="dxa" w:w="388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592"/>
          </w:tcPr>
          <w:p>
            <w:r>
              <w:t>Home outline</w:t>
            </w:r>
          </w:p>
        </w:tc>
        <w:tc>
          <w:tcPr>
            <w:tcW w:type="dxa" w:w="3888"/>
          </w:tcPr>
          <w:p>
            <w:r>
              <w:t>Landing screen</w:t>
            </w:r>
          </w:p>
        </w:tc>
      </w:tr>
      <w:tr>
        <w:tc>
          <w:tcPr>
            <w:tcW w:type="dxa" w:w="2880"/>
          </w:tcPr>
          <w:p>
            <w:r>
              <w:t>Opportunity Board</w:t>
            </w:r>
          </w:p>
        </w:tc>
        <w:tc>
          <w:tcPr>
            <w:tcW w:type="dxa" w:w="2592"/>
          </w:tcPr>
          <w:p>
            <w:r>
              <w:t>Handshake / leaf hybrid</w:t>
            </w:r>
          </w:p>
        </w:tc>
        <w:tc>
          <w:tcPr>
            <w:tcW w:type="dxa" w:w="3888"/>
          </w:tcPr>
          <w:p>
            <w:r>
              <w:t>Buyer-backed opportunities</w:t>
            </w:r>
          </w:p>
        </w:tc>
      </w:tr>
      <w:tr>
        <w:tc>
          <w:tcPr>
            <w:tcW w:type="dxa" w:w="2880"/>
          </w:tcPr>
          <w:p>
            <w:r>
              <w:t>Production Formula</w:t>
            </w:r>
          </w:p>
        </w:tc>
        <w:tc>
          <w:tcPr>
            <w:tcW w:type="dxa" w:w="2592"/>
          </w:tcPr>
          <w:p>
            <w:r>
              <w:t>Clipboard with checkmark</w:t>
            </w:r>
          </w:p>
        </w:tc>
        <w:tc>
          <w:tcPr>
            <w:tcW w:type="dxa" w:w="3888"/>
          </w:tcPr>
          <w:p>
            <w:r>
              <w:t>Structured instructions</w:t>
            </w:r>
          </w:p>
        </w:tc>
      </w:tr>
      <w:tr>
        <w:tc>
          <w:tcPr>
            <w:tcW w:type="dxa" w:w="2880"/>
          </w:tcPr>
          <w:p>
            <w:r>
              <w:t>Milestone Log</w:t>
            </w:r>
          </w:p>
        </w:tc>
        <w:tc>
          <w:tcPr>
            <w:tcW w:type="dxa" w:w="2592"/>
          </w:tcPr>
          <w:p>
            <w:r>
              <w:t>Calendar with check</w:t>
            </w:r>
          </w:p>
        </w:tc>
        <w:tc>
          <w:tcPr>
            <w:tcW w:type="dxa" w:w="3888"/>
          </w:tcPr>
          <w:p>
            <w:r>
              <w:t>Logged field progress</w:t>
            </w:r>
          </w:p>
        </w:tc>
      </w:tr>
      <w:tr>
        <w:tc>
          <w:tcPr>
            <w:tcW w:type="dxa" w:w="2880"/>
          </w:tcPr>
          <w:p>
            <w:r>
              <w:t>Agronomist Messaging</w:t>
            </w:r>
          </w:p>
        </w:tc>
        <w:tc>
          <w:tcPr>
            <w:tcW w:type="dxa" w:w="2592"/>
          </w:tcPr>
          <w:p>
            <w:r>
              <w:t>Speech bubble</w:t>
            </w:r>
          </w:p>
        </w:tc>
        <w:tc>
          <w:tcPr>
            <w:tcW w:type="dxa" w:w="3888"/>
          </w:tcPr>
          <w:p>
            <w:r>
              <w:t>Two-way conversation</w:t>
            </w:r>
          </w:p>
        </w:tc>
      </w:tr>
      <w:tr>
        <w:tc>
          <w:tcPr>
            <w:tcW w:type="dxa" w:w="2880"/>
          </w:tcPr>
          <w:p>
            <w:r>
              <w:t>Order Inputs</w:t>
            </w:r>
          </w:p>
        </w:tc>
        <w:tc>
          <w:tcPr>
            <w:tcW w:type="dxa" w:w="2592"/>
          </w:tcPr>
          <w:p>
            <w:r>
              <w:t>Shopping bag / seed sack</w:t>
            </w:r>
          </w:p>
        </w:tc>
        <w:tc>
          <w:tcPr>
            <w:tcW w:type="dxa" w:w="3888"/>
          </w:tcPr>
          <w:p>
            <w:r>
              <w:t>Input ordering</w:t>
            </w:r>
          </w:p>
        </w:tc>
      </w:tr>
      <w:tr>
        <w:tc>
          <w:tcPr>
            <w:tcW w:type="dxa" w:w="2880"/>
          </w:tcPr>
          <w:p>
            <w:r>
              <w:t>Harvest Pickup</w:t>
            </w:r>
          </w:p>
        </w:tc>
        <w:tc>
          <w:tcPr>
            <w:tcW w:type="dxa" w:w="2592"/>
          </w:tcPr>
          <w:p>
            <w:r>
              <w:t>Truck / tricycle outline</w:t>
            </w:r>
          </w:p>
        </w:tc>
        <w:tc>
          <w:tcPr>
            <w:tcW w:type="dxa" w:w="3888"/>
          </w:tcPr>
          <w:p>
            <w:r>
              <w:t>Logistics collection</w:t>
            </w:r>
          </w:p>
        </w:tc>
      </w:tr>
      <w:tr>
        <w:tc>
          <w:tcPr>
            <w:tcW w:type="dxa" w:w="2880"/>
          </w:tcPr>
          <w:p>
            <w:r>
              <w:t>Wallet &amp; Settlement</w:t>
            </w:r>
          </w:p>
        </w:tc>
        <w:tc>
          <w:tcPr>
            <w:tcW w:type="dxa" w:w="2592"/>
          </w:tcPr>
          <w:p>
            <w:r>
              <w:t>Wallet outline</w:t>
            </w:r>
          </w:p>
        </w:tc>
        <w:tc>
          <w:tcPr>
            <w:tcW w:type="dxa" w:w="3888"/>
          </w:tcPr>
          <w:p>
            <w:r>
              <w:t>Money owed / paid</w:t>
            </w:r>
          </w:p>
        </w:tc>
      </w:tr>
      <w:tr>
        <w:tc>
          <w:tcPr>
            <w:tcW w:type="dxa" w:w="2880"/>
          </w:tcPr>
          <w:p>
            <w:r>
              <w:t>Registration &amp; KYC</w:t>
            </w:r>
          </w:p>
        </w:tc>
        <w:tc>
          <w:tcPr>
            <w:tcW w:type="dxa" w:w="2592"/>
          </w:tcPr>
          <w:p>
            <w:r>
              <w:t>ID card outline</w:t>
            </w:r>
          </w:p>
        </w:tc>
        <w:tc>
          <w:tcPr>
            <w:tcW w:type="dxa" w:w="3888"/>
          </w:tcPr>
          <w:p>
            <w:r>
              <w:t>Identity verification</w:t>
            </w:r>
          </w:p>
        </w:tc>
      </w:tr>
    </w:tbl>
    <w:p>
      <w:pPr>
        <w:pStyle w:val="Heading1"/>
      </w:pPr>
      <w:r>
        <w:t>7. Component Rules — Lightweight vs Dense</w:t>
      </w:r>
    </w:p>
    <w:p>
      <w:r>
        <w:rPr>
          <w:b w:val="0"/>
          <w:i w:val="0"/>
        </w:rPr>
        <w:t>Farm Master has one component library, not two — the same button, card, and badge components are used everywhere. What changes between the Farmer Portal and the Buyer/Vendor/Control Centre portals is density and emphasis, not the components themselves.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744"/>
          </w:tcPr>
          <w:p>
            <w:r>
              <w:rPr>
                <w:b/>
              </w:rPr>
              <w:t>Farmer Portal (lightweight)</w:t>
            </w:r>
          </w:p>
        </w:tc>
        <w:tc>
          <w:tcPr>
            <w:tcW w:type="dxa" w:w="3744"/>
          </w:tcPr>
          <w:p>
            <w:r>
              <w:rPr>
                <w:b/>
              </w:rPr>
              <w:t>Buyer / Vendor / Control Centre (dense)</w:t>
            </w:r>
          </w:p>
        </w:tc>
      </w:tr>
      <w:tr>
        <w:tc>
          <w:tcPr>
            <w:tcW w:type="dxa" w:w="1872"/>
          </w:tcPr>
          <w:p>
            <w:r>
              <w:t>Buttons</w:t>
            </w:r>
          </w:p>
        </w:tc>
        <w:tc>
          <w:tcPr>
            <w:tcW w:type="dxa" w:w="3744"/>
          </w:tcPr>
          <w:p>
            <w:r>
              <w:t>Full-width on phone, icon + label, 48px min height</w:t>
            </w:r>
          </w:p>
        </w:tc>
        <w:tc>
          <w:tcPr>
            <w:tcW w:type="dxa" w:w="3744"/>
          </w:tcPr>
          <w:p>
            <w:r>
              <w:t>Inline-width, label-only is acceptable, 44px min height</w:t>
            </w:r>
          </w:p>
        </w:tc>
      </w:tr>
      <w:tr>
        <w:tc>
          <w:tcPr>
            <w:tcW w:type="dxa" w:w="1872"/>
          </w:tcPr>
          <w:p>
            <w:r>
              <w:t>Cards</w:t>
            </w:r>
          </w:p>
        </w:tc>
        <w:tc>
          <w:tcPr>
            <w:tcW w:type="dxa" w:w="3744"/>
          </w:tcPr>
          <w:p>
            <w:r>
              <w:t>One primary action per card, generous padding, icon-led</w:t>
            </w:r>
          </w:p>
        </w:tc>
        <w:tc>
          <w:tcPr>
            <w:tcW w:type="dxa" w:w="3744"/>
          </w:tcPr>
          <w:p>
            <w:r>
              <w:t>Multiple data points per card, tighter padding, text-led</w:t>
            </w:r>
          </w:p>
        </w:tc>
      </w:tr>
      <w:tr>
        <w:tc>
          <w:tcPr>
            <w:tcW w:type="dxa" w:w="1872"/>
          </w:tcPr>
          <w:p>
            <w:r>
              <w:t>Tables</w:t>
            </w:r>
          </w:p>
        </w:tc>
        <w:tc>
          <w:tcPr>
            <w:tcW w:type="dxa" w:w="3744"/>
          </w:tcPr>
          <w:p>
            <w:r>
              <w:t>Avoided where possible — replaced with card lists even on desktop</w:t>
            </w:r>
          </w:p>
        </w:tc>
        <w:tc>
          <w:tcPr>
            <w:tcW w:type="dxa" w:w="3744"/>
          </w:tcPr>
          <w:p>
            <w:r>
              <w:t>Used freely; scrolls horizontally below tablet width (unchanged from Stage 3)</w:t>
            </w:r>
          </w:p>
        </w:tc>
      </w:tr>
      <w:tr>
        <w:tc>
          <w:tcPr>
            <w:tcW w:type="dxa" w:w="1872"/>
          </w:tcPr>
          <w:p>
            <w:r>
              <w:t>Status badges</w:t>
            </w:r>
          </w:p>
        </w:tc>
        <w:tc>
          <w:tcPr>
            <w:tcW w:type="dxa" w:w="3744"/>
          </w:tcPr>
          <w:p>
            <w:r>
              <w:t>Color + icon, never color alone</w:t>
            </w:r>
          </w:p>
        </w:tc>
        <w:tc>
          <w:tcPr>
            <w:tcW w:type="dxa" w:w="3744"/>
          </w:tcPr>
          <w:p>
            <w:r>
              <w:t>Color + label text, compact</w:t>
            </w:r>
          </w:p>
        </w:tc>
      </w:tr>
      <w:tr>
        <w:tc>
          <w:tcPr>
            <w:tcW w:type="dxa" w:w="1872"/>
          </w:tcPr>
          <w:p>
            <w:r>
              <w:t>Navigation</w:t>
            </w:r>
          </w:p>
        </w:tc>
        <w:tc>
          <w:tcPr>
            <w:tcW w:type="dxa" w:w="3744"/>
          </w:tcPr>
          <w:p>
            <w:r>
              <w:t>Bottom-anchored on phone (thumb reach), 4 items max</w:t>
            </w:r>
          </w:p>
        </w:tc>
        <w:tc>
          <w:tcPr>
            <w:tcW w:type="dxa" w:w="3744"/>
          </w:tcPr>
          <w:p>
            <w:r>
              <w:t>Top app-header, collapses to menu icon below the phone tier (unchanged from Stage 3)</w:t>
            </w:r>
          </w:p>
        </w:tc>
      </w:tr>
    </w:tbl>
    <w:p>
      <w:pPr>
        <w:pStyle w:val="Heading1"/>
      </w:pPr>
      <w:r>
        <w:t>8. Portal-Specific Status</w:t>
      </w:r>
    </w:p>
    <w:p>
      <w:pPr>
        <w:pStyle w:val="Heading2"/>
      </w:pPr>
      <w:r>
        <w:t>8.1 Farmer Portal — Lightweight, Icon-Forward (built this stage)</w:t>
      </w:r>
    </w:p>
    <w:p>
      <w:r>
        <w:rPr>
          <w:b w:val="0"/>
          <w:i w:val="0"/>
        </w:rPr>
        <w:t>All 10 screens from the Stage 3 wireframe (farmer_portal_wireframe.html) have been visually redesigned using this system — see farmer_portal_visual.html in the same folder. Screen structure, the desktop/tablet/phone preview toggle, and all container-query responsive behavior carry over unchanged from Stage 3; only color, typography, iconography, and component density changed.</w:t>
      </w:r>
    </w:p>
    <w:p>
      <w:pPr>
        <w:pStyle w:val="Heading2"/>
      </w:pPr>
      <w:r>
        <w:t>8.2 Buyer / Vendor / Control Centre — Data-Dense Dashboard (built this stage)</w:t>
      </w:r>
    </w:p>
    <w:p>
      <w:r>
        <w:rPr>
          <w:b w:val="0"/>
          <w:i w:val="0"/>
        </w:rPr>
        <w:t>Built following Farmer Portal approval: buyer_portal_visual.html and vendor_portal_visual.html apply the dense treatment uniformly. internal_operations_visual.html applies a split — the 9 office-role screens (Dashboard, Matching, Formula Builder, Visit Logs, Intake, Finance, Reporting, MoFA, User Admin) use the dense treatment, while the 3 confirmed phone-first field-role screens (Logistics Dispatch, Proof of Pickup/Delivery, Trunking) carry a visible device badge in-screen so the confirmed Control Centre split (PRD Section 5.1) is legible in the design itself, not just in documentation.</w:t>
      </w:r>
    </w:p>
    <w:p>
      <w:pPr>
        <w:pStyle w:val="Heading1"/>
      </w:pPr>
      <w:r>
        <w:t>9. Open Items</w:t>
      </w:r>
    </w:p>
    <w:p>
      <w:r>
        <w:rPr>
          <w:b w:val="0"/>
          <w:i w:val="0"/>
        </w:rPr>
        <w:t>None blocking. Stage 6 (Build) now covers twenty-three real, tested flows in Stage 6 Build/, spanning every screen in the confirmed IA/wireframe/visual scope except the payment/OTP gateway integration itself. This pass (8 Sep 2026) closed 24 items in one push, following this session's own completeness audit finding the unbuilt-screen list was longer than previously tracked: the six already-known gaps (Reporting dashboard, MoFA import, Registration Approval Queue as its own screen, Field Visit Logs, Proof of Pickup/Delivery, Trunking) plus eighteen more screens never previously enumerated -- the four portal dashboards (Buyer, Farmer, Vendor, Control Centre), Farmer Wallet &amp; Settlement/Milestone Log/Agronomist Messaging, Vendor Subscription &amp; Billing/Payout Statement/Logistics Handoff Status, Buyer Documents/Tracking/Invoice, and the Audit Log's first real browsing screen -- plus the entire USSD/SMS channel (a session-based menu emulator with a real inactivity timeout, driven by real backend state, SIMULATED delivery with an assertable log), which had zero Stage 4 visual and zero build of any kind before this pass. Every PRD Section 6 Must-Have remains genuinely built, including Must-Have #3's literal scope. RBAC (7 roles), audit logging, and Finance/Super Admin segregation are foundational and now cover every new screen: Finance never sees account-admin data, Super Admin never sees reconciliation figures, and a vendor cannot approve its own date-conflict override. Real-time OTP verification via phone and email remains SIMULATED pending a chosen SMS/email provider -- confirmed 8 Sep 2026 as a deliberate, unchanged decision, not an oversight. A full responsive QA pass (SDD Sections 17-27) confirmed every flow renders correctly at desktop/tablet/phone with no horizontal page overflow and no interactive element under the 44px touch-target minimum (Section 5 above) -- across six extensions it found and fixed a systemic missing-viewport-meta-tag bug, several sub-44px controls, a non-collapsing two-column layout, two JS syntax bugs caught before testing, stale UI copy, a real navigation dead-end, and (this pass) a session-timer bug where the USSD emulator's inactivity countdown restarted itself even after showing SESSION EXPIRED, found and fixed during real browser click-through testing, not just flagged. See Farm_Master_SDD_Stage6.docx and Farm_Master_API_Documentation_Stage6.docx. Remaining, and now the only item on this list: any real mobile money/OTP/SMS gateway integration (PRD Section 1.1/12). The trading margin rate used by Finance &amp; Reconciliation is BUSINESS-UNCONFIRMED, same treatment as the other provisional rates -- see SDD Section 18. Stage 7 (Testing, 9 Sep 2026) automated the manual responsive/touch-target checks described above into a repeatable Playwright suite run at 375/768/1280px, and in doing so found one more sub-44px violation this list's prior passes had missed: the USSD phone emulator's own input field and Send button, at 37px in its bespoke phone-frame layout (not the shared .grid chrome the other checks cover) -- fixed by adding min-height:44px (and min-width on the button) in ussd_sms_flow_live.html. All 24 Stage 6 screens are now additionally verified by 575 automated tests (88% coverage on the backend); see Stage 6 Build/TEST_PLAN.md and SDD Section 28. RBAC was widened 9 September 2026 from 7 to 9 roles, splitting Pilot Operations Coordinator and Compliance/Reporting Officer out from Agronomist and Finance for real pilot-staff onboarding into the Control Centre -- see SDD Section 29; the same segregation-of-duties principle applies to both new roles (neither gets account/role administration or money-movement authority). Separately, 9 September 2026: the manual desktop/tablet/phone preview toggle used across every Stage 6 flow page (Section 5) was removed and replaced with real, automatic responsive design -- the same @container breakpoints (767px/1023px) that were already correct, now driven by the page's actual rendered width instead of a JS-set simulated frame, plus a real hamburger-triggered off-canvas drawer for the rail sidebar below 768px (previously the rail only flattened to a horizontal strip at a one-off 860px breakpoint, not this codebase's own 768/1024 convention). Verified live at 375/768/1280px across all 23 flow pages -- see SDD Section 30.</w:t>
      </w:r>
    </w:p>
    <w:p>
      <w:pPr>
        <w:pStyle w:val="Heading1"/>
      </w:pPr>
      <w:r>
        <w:t>10. October 2026 Revision: Adopting the CEO Platform Demo's Visual Language</w:t>
      </w:r>
    </w:p>
    <w:p>
      <w:r>
        <w:t>On 11 October 2026 the CEO-approved clickable demo (docs/reference/Farm_Master_Platform_Demo.html) became the target for look, feel and core flows. This section supersedes Sections 3 (Color Palette) and 4 (Typography) above. Spacing, breakpoints and the lightweight-vs-dense component rules in Sections 5 and 7 still apply. The full, maintained reference is docs/design-system.md, and a live gallery is served at /design-system.</w:t>
      </w:r>
    </w:p>
    <w:p>
      <w:pPr>
        <w:pStyle w:val="Heading2"/>
      </w:pPr>
      <w:r>
        <w:t>10.1 Colour tokens (light values exactly as the 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Hex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--forest-deep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#173821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Primary brand, headings, primary buttons, Farmer 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--forest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#1E4620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Primary hover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--forest-soft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#2F5C34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Focus outlines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--gold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#C7912E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Accent, Buyer role, current step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--gold-soft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#E4C583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Pills, text selection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--clay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#A65B31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Vendor role, active category tabs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--cream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#F6F1E3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Page and input background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--paper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#FFFEFA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Cards, panels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--ink / --ink-soft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#22261D / #5B5F51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Body / secondary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--line / --line-soft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#DEDBC6 / #EAE7D8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Borders, dividers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--good / --good-bg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#2F6B3A / #E7F0E3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Success, Accepted, Delivered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--warn / --warn-bg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#9A6A18 / #F7ECD6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--info / --info-bg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#3D5F8A / #E4EBF4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progress: Aggregating, Matching farmers</w:t>
            </w:r>
          </w:p>
        </w:tc>
      </w:tr>
    </w:tbl>
    <w:p>
      <w:r>
        <w:t>Dark mode is kept (decision D7 in docs/ceo-demo-gap-report.md). Dark values are derived from the light ones and applied via prefers-color-scheme or data-theme on the html element.</w:t>
      </w:r>
    </w:p>
    <w:p>
      <w:pPr>
        <w:pStyle w:val="Heading2"/>
      </w:pPr>
      <w:r>
        <w:t>10.2 Typography</w:t>
      </w:r>
    </w:p>
    <w:p>
      <w:r>
        <w:t>Headings: Fraunces 600 with slight negative letter-spacing (fallback Georgia). Body and UI: Archivo 400-800 (fallback Segoe UI). Both are loaded from Google Fonts in tokens.css. This replaces the single-family Manrope decision in Section 4. (Manrope was declared but never actually loaded, so pages rendered in the system font.)</w:t>
      </w:r>
    </w:p>
    <w:p>
      <w:pPr>
        <w:pStyle w:val="Heading2"/>
      </w:pPr>
      <w:r>
        <w:t>10.3 Shape, elevation and role colours</w:t>
      </w:r>
    </w:p>
    <w:p>
      <w:r>
        <w:t>Card radius 14px, chip radius 999px, button radius 9px (7px small), and soft forest-tinted shadows (--shadow-1 resting, --shadow-2 raised). Role colour-coding is used everywhere: Farmer = forest, Buyer = gold, Vendor = clay, on the portal role chip, the portal card top border and active states.</w:t>
      </w:r>
    </w:p>
    <w:p>
      <w:pPr>
        <w:pStyle w:val="Heading2"/>
      </w:pPr>
      <w:r>
        <w:t>10.4 Shared components</w:t>
      </w:r>
    </w:p>
    <w:p>
      <w:r>
        <w:t>Implemented once in frontend/assets/components.css and components.js (window.FM) rather than per page: top bar with portal switcher, buttons (primary/ghost/gold/small/disabled), card + hint, badges, horizontal stepper, progress bar, form field + two-column row, data table with expandable detail row, category pill tabs, product card, sticky cart panel, toast, multi-step modal, live activity ticker, sign-in card, and a stroke SVG icon set that replaces the demo's emoji. prefers-reduced-motion disables all animation.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