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Every route below 403s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CONFIRMED vendor request is linked to this order. Writes a vendor_payout_released audit entry.</w:t>
            </w:r>
          </w:p>
        </w:tc>
      </w:tr>
    </w:tbl>
    <w:p>
      <w:pPr>
        <w:pStyle w:val="Heading1"/>
      </w:pPr>
      <w:r>
        <w:t>10.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11. Not Yet Built</w:t>
      </w:r>
    </w:p>
    <w:p>
      <w:r>
        <w:rPr>
          <w:b w:val="0"/>
          <w:i w:val="0"/>
        </w:rPr>
        <w:t>The remaining Internal Operations screens' endpoints (Reporting, MoFA Data Exchange); feeding a graded intake (Section 8) into Buyer Compliance Docs (Section 9 covers Farmer Wallet/Settlement, not this half); a confirmed InputOrder's real cost feeding into Section 9's vendor payout (Section 9 still reads only confirmed MechanisationRequest rows -- Order Inputs, Section 4, is real but not yet wired into reconciliation); a Buyer-side path for the vendor date-conflict override (Super Admin only, this pass -- see SDD Section 10); catalogue item edit/delete (Section 4); and any real mobile money/OTP/USSD/MoFA gateway integration -- OTP verification (Section 1) is real end to end but SIMULATED at the delivery layer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