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twelve real, tested flows in Stage 6 Build/: Buyer commitment-fee payment, Farmer opportunity-acceptance + formula, Vendor mechanisation request, the Matching Queue, the Production Formula Builder, Logistics Dispatch, Harvest Pickup Request, Fulfilment Centre Intake &amp; Grading, Finance &amp; Reconciliation, and Order Inputs + Vendor Product Catalogue (the six Internal Operations/Vendor screens completing PRD Section 6's Must-Haves -- all five are now genuinely built, including Must-Have #3's literal scope, not just the job sources that happened to exist earlier).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A full responsive QA pass (SDD Sections 17-21) confirmed every flow renders correctly at desktop/tablet/phone with no horizontal page overflow and no interactive element under the 44px touch-target minimum (Section 5 above) -- across three extensions it found and fixed a systemic missing-viewport-meta-tag bug, several sub-44px controls, a two-column layout that didn't collapse at narrow widths, a JS syntax bug caught before testing, stale UI copy, and a real navigation dead-end. See Farm_Master_SDD_Stage6.docx and Farm_Master_API_Documentation_Stage6.docx. Remaining: the rest of Internal Operations (Reporting, MoFA Data Exchange), and wiring a confirmed InputOrder's real cost into Order Reconciliation's vendor payout (which still only reads confirmed MechanisationRequest rows). The trading margin rate used by Finance &amp; Reconciliation is BUSINESS-UNCONFIRMED, same treatment as the other provisional rates -- see SDD Section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