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Finance</w:t>
            </w:r>
          </w:p>
        </w:tc>
        <w:tc>
          <w:tcPr>
            <w:tcW w:type="dxa" w:w="7300"/>
            <w:tcMar>
              <w:top w:type="dxa" w:w="80"/>
              <w:left w:type="dxa" w:w="100"/>
              <w:bottom w:type="dxa" w:w="80"/>
              <w:right w:type="dxa" w:w="100"/>
            </w:tcMar>
          </w:tcPr>
          <w:p>
            <w:r>
              <w:rPr>
                <w:b w:val="false"/>
                <w:bCs w:val="false"/>
                <w:sz w:val="20"/>
                <w:szCs w:val="20"/>
              </w:rPr>
              <w:t>Reconciles commitment fees, trading margins, vendor payouts, and farmer settlements; financial and MoFA compliance reporting. Has no authority to create accounts or change role permissions (Section 5).</w:t>
            </w:r>
          </w:p>
        </w:tc>
      </w:tr>
      <w:tr>
        <w:tc>
          <w:tcPr>
            <w:tcW w:type="dxa" w:w="2600"/>
          </w:tcPr>
          <w:p>
            <w:r>
              <w:t>Super Admin / Platform Admin</w:t>
            </w:r>
          </w:p>
        </w:tc>
        <w:tc>
          <w:tcPr>
            <w:tcW w:type="dxa" w:w="7300"/>
          </w:tcPr>
          <w:p>
            <w:r>
              <w:t>Full account management and role assignment/revocation across all four portals (Farmer, Buyer, Vendor, Internal Operations); reviews and approves Buyer/Vendor registration verification; system-wide configuration; audit log visibility over every role/permission change and every financial action. Added 3 September 2026 to separate user/role administration from Finance (Section 5).</w:t>
            </w:r>
          </w:p>
        </w:tc>
      </w:tr>
    </w:tbl>
    <w:p>
      <w:pPr>
        <w:spacing w:after="160"/>
      </w:pPr>
    </w:p>
    <w:p>
      <w:pPr>
        <w:spacing w:after="160"/>
      </w:pPr>
      <w:r>
        <w:t>Access to each of the seven roles above (Farmer, Buyer, Vendor, Agronomist, Logistics, Finance, Super Admin) must be permission-scoped from the start — this is a confirmed constraint, not a later add-on, since a Farmer must never see Buyer order data or another Farmer's settlement figures, and Logistics staff need dispatch visibility without financial reconciliation access. Finance and Super Admin are deliberately separate roles (added 3 September 2026) so that no single role can both move money and grant its own permissions — Finance releases settlements and payouts; only Super Admin can create accounts, assign or revoke roles, or approve a Buyer/Vendor's pending registration.</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Role-based access control across all seven roles (Section 3), enforced at the data layer, not just the UI.</w:t>
      </w:r>
      <w:r/>
    </w:p>
    <w:p>
      <w:pPr>
        <w:pStyle w:val="ListParagraph"/>
      </w:pPr>
      <w:r>
        <w:rPr>
          <w:b w:val="0"/>
          <w:i w:val="0"/>
        </w:rPr>
        <w:t>Audit logging for every role/permission change and every financial action (commitment fee capture, settlement release, payout release), attributable to the acting user — added 3 September 2026 as a Stage 6 architectural requirement from day one, not a later retrofit.</w:t>
      </w:r>
    </w:p>
    <w:p>
      <w:pPr>
        <w:pStyle w:val="ListParagraph"/>
      </w:pPr>
      <w:r>
        <w:rPr>
          <w:b w:val="0"/>
          <w:i w:val="0"/>
        </w:rPr>
        <w:t>Real-time OTP verification via both phone (SMS) and email, at both registration and login, across all seven roles — added 5 September 2026 as a new confirmed requirement, not part of the original Stage 1 scope. See Section 12.</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p>
      <w:pPr>
        <w:pStyle w:val="Heading1"/>
      </w:pPr>
      <w:r>
        <w:rPr>
          <w:b w:val="0"/>
          <w:i w:val="0"/>
        </w:rPr>
        <w:t>10. Provisional Rates &amp; Formulas (Pending Sign-off)</w:t>
      </w:r>
    </w:p>
    <w:p>
      <w:r>
        <w:rPr>
          <w:b w:val="0"/>
          <w:i w:val="0"/>
        </w:rPr>
        <w:t>Added 3 September 2026, during Stage 5 (Interactive Prototype). The three flows built for Stage 5 needed real numbers to be genuinely interactive rather than static — the figures below were used for that purpose. None of them are final business decisions; they are provisional placeholders so the prototypes function correctly, and they are wired as configuration values (not hard-coded numbers) in each flow file specifically so a real number can replace a placeholder in one line, not a code change. See rates_config.js in Stage 5 Interactive Prototype/ for the canonical reference copy.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Value</w:t>
            </w:r>
          </w:p>
        </w:tc>
        <w:tc>
          <w:tcPr>
            <w:tcW w:type="dxa" w:w="2592"/>
          </w:tcPr>
          <w:p>
            <w:r>
              <w:rPr>
                <w:b/>
              </w:rPr>
              <w:t>Provisional figure</w:t>
            </w:r>
          </w:p>
        </w:tc>
        <w:tc>
          <w:tcPr>
            <w:tcW w:type="dxa" w:w="4320"/>
          </w:tcPr>
          <w:p>
            <w:r>
              <w:rPr>
                <w:b/>
              </w:rPr>
              <w:t>Status</w:t>
            </w:r>
          </w:p>
        </w:tc>
      </w:tr>
      <w:tr>
        <w:tc>
          <w:tcPr>
            <w:tcW w:type="dxa" w:w="2592"/>
          </w:tcPr>
          <w:p>
            <w:r>
              <w:t>Buyer commitment fee</w:t>
            </w:r>
          </w:p>
        </w:tc>
        <w:tc>
          <w:tcPr>
            <w:tcW w:type="dxa" w:w="2592"/>
          </w:tcPr>
          <w:p>
            <w:r>
              <w:t>GHS 90 / tonne</w:t>
            </w:r>
          </w:p>
        </w:tc>
        <w:tc>
          <w:tcPr>
            <w:tcW w:type="dxa" w:w="4320"/>
          </w:tcPr>
          <w:p>
            <w:r>
              <w:t>Provisional — pending Emmanuel's final business sign-off. Used in Flow 1 (Buyer Commitment-Fee Payment) since Stage 3/4 mock screens; carried into the interactive prototype.</w:t>
            </w:r>
          </w:p>
        </w:tc>
      </w:tr>
      <w:tr>
        <w:tc>
          <w:tcPr>
            <w:tcW w:type="dxa" w:w="2592"/>
          </w:tcPr>
          <w:p>
            <w:r>
              <w:t>Vendor mechanisation service fee</w:t>
            </w:r>
          </w:p>
        </w:tc>
        <w:tc>
          <w:tcPr>
            <w:tcW w:type="dxa" w:w="2592"/>
          </w:tcPr>
          <w:p>
            <w:r>
              <w:t>GHS 60 / tonne</w:t>
            </w:r>
          </w:p>
        </w:tc>
        <w:tc>
          <w:tcPr>
            <w:tcW w:type="dxa" w:w="4320"/>
          </w:tcPr>
          <w:p>
            <w:r>
              <w:t>Provisional — pending Emmanuel's final business sign-off. Specified per-tonne, but mechanisation requests currently capture area (acres), not tonnage — there is no yield/tonnage field on a request yet. Applied per-acre in Flow 3 as a placeholder wiring pattern; flagged for Stage 6 data-model review, not treated as correct as-is.</w:t>
            </w:r>
          </w:p>
        </w:tc>
      </w:tr>
      <w:tr>
        <w:tc>
          <w:tcPr>
            <w:tcW w:type="dxa" w:w="2592"/>
          </w:tcPr>
          <w:p>
            <w:r>
              <w:t>Production formula input scaling</w:t>
            </w:r>
          </w:p>
        </w:tc>
        <w:tc>
          <w:tcPr>
            <w:tcW w:type="dxa" w:w="2592"/>
          </w:tcPr>
          <w:p>
            <w:r>
              <w:t>Seed 1.6 kg/t · NPK 1 bag/2t · Top-dress 1 bag/4t</w:t>
            </w:r>
          </w:p>
        </w:tc>
        <w:tc>
          <w:tcPr>
            <w:tcW w:type="dxa" w:w="4320"/>
          </w:tcPr>
          <w:p>
            <w:r>
              <w:t>AGRONOMICALLY UNVERIFIED, not just business-unconfirmed — these multipliers were invented to produce plausible-looking numbers for Flow 2 (Farmer Production Formula), not derived from any agronomic source. Needs an agronomist's review before any real farmer sees these quantities, in addition to Emmanuel's sign-off.</w:t>
            </w:r>
          </w:p>
        </w:tc>
      </w:tr>
    </w:tbl>
    <w:p>
      <w:r>
        <w:rPr>
          <w:b w:val="0"/>
          <w:i/>
        </w:rPr>
        <w:t>None of these block Stage 6 architecture work — they are implemented as configuration, not code, specifically so real figures can be dropped in later without touching application logic.</w:t>
      </w:r>
    </w:p>
    <w:p>
      <w:pPr>
        <w:pStyle w:val="Heading1"/>
      </w:pPr>
      <w:r>
        <w:rPr>
          <w:b w:val="0"/>
          <w:i w:val="0"/>
        </w:rPr>
        <w:t>11. Vendor Date-Conflict Approval Rule</w:t>
      </w:r>
    </w:p>
    <w:p>
      <w:r>
        <w:rPr>
          <w:b w:val="0"/>
          <w:i w:val="0"/>
        </w:rPr>
        <w:t>Added 3 September 2026, closing a gap identified while reviewing Flow 3 (Vendor Mechanisation Request): the Stage 5 prototype did not check whether a vendor's confirmed service date fell outside the farmer's originally requested window. This is now a confirmed business rule, not just a prototype fix:</w:t>
      </w:r>
    </w:p>
    <w:p>
      <w:pPr>
        <w:pStyle w:val="ListParagraph"/>
      </w:pPr>
      <w:r>
        <w:rPr>
          <w:b w:val="0"/>
          <w:i w:val="0"/>
        </w:rPr>
        <w:t>A vendor confirming a mechanisation request with a date outside the farmer's requested window is not blocked from proceeding, but must obtain buyer or admin approval before the order can proceed. The override — who approved it, the originally requested window, and the confirmed date — is logged to the audit trail (Section 3, Super Admin / Platform Admin role) as one of the financial/operational actions requiring traceability. Implemented in Flow 3's interactive prototype as a non-blocking warning with a required approval step before the Confirm action becomes available.</w:t>
      </w:r>
    </w:p>
    <w:p>
      <w:pPr>
        <w:pStyle w:val="Heading1"/>
      </w:pPr>
      <w:r>
        <w:rPr>
          <w:b w:val="0"/>
          <w:i w:val="0"/>
        </w:rPr>
        <w:t>12. Real-Time OTP Verification (Registration &amp; Login)</w:t>
      </w:r>
    </w:p>
    <w:p>
      <w:r>
        <w:rPr>
          <w:b w:val="0"/>
          <w:i w:val="0"/>
        </w:rPr>
        <w:t>Added 5 September 2026, per Emmanuel’s decision — a new confirmed requirement, not part of the original Stage 1–5 scope. Applies to all seven roles (Section 3.2), not only the three self-registering portal roles:</w:t>
      </w:r>
    </w:p>
    <w:p>
      <w:pPr>
        <w:pStyle w:val="ListParagraph"/>
      </w:pPr>
      <w:r>
        <w:rPr>
          <w:b w:val="0"/>
          <w:i w:val="0"/>
        </w:rPr>
        <w:t>Both channels, both events. Every registration and every login requires two one-time codes — one delivered to the user’s phone (SMS), one to their email — entered together before the action completes. This is deliberately heavier than typical 2FA (which usually gates only the riskiest actions, or only registration): Emmanuel confirmed OTP applies at every login, not just once at sign-up.</w:t>
      </w:r>
    </w:p>
    <w:p>
      <w:pPr>
        <w:pStyle w:val="ListParagraph"/>
      </w:pPr>
      <w:r>
        <w:rPr>
          <w:b w:val="0"/>
          <w:i w:val="0"/>
        </w:rPr>
        <w:t>Applies to Internal Operations roles too. Agronomist, Logistics, Finance, and Super Admin accounts are Super-Admin-provisioned rather than self-registered (Section 3.2), so OTP verification applies to their login step only — they have no registration step of their own to gate.</w:t>
      </w:r>
    </w:p>
    <w:p>
      <w:pPr>
        <w:pStyle w:val="ListParagraph"/>
      </w:pPr>
      <w:r>
        <w:rPr>
          <w:b w:val="0"/>
          <w:i w:val="0"/>
        </w:rPr>
        <w:t>Delivery gateway is an open technical decision, same treatment as the payment gateway (Section 1.1): no SMS or email provider has been chosen. For the pilot build this is implemented as a real, working OTP mechanism with SIMULATED delivery — codes are generated, stored, and verified for real, but returned directly in the API response instead of actually being sent, so the pilot is fully demonstrable without a live gateway contract. Swapping in a real provider later is a delivery-layer change, not a rework of the verification logic.</w:t>
      </w:r>
    </w:p>
    <w:p>
      <w:pPr>
        <w:pStyle w:val="ListParagraph"/>
      </w:pPr>
      <w:r>
        <w:rPr>
          <w:b w:val="0"/>
          <w:i w:val="0"/>
        </w:rPr>
        <w:t>Buyer/Vendor registration keeps its existing Super Admin review step (Section 3.2, Registration Approval Queue) — OTP verification is a new precondition to entering that queue, not a replacement for it. A Farmer account has no such review step, so OTP verification is the entire gate for a Farmer.</w:t>
      </w:r>
    </w:p>
    <w:p>
      <w:r>
        <w:rPr>
          <w:b w:val="0"/>
          <w:i w:val="0"/>
        </w:rPr>
        <w:t>Full implementation detail — the OTP challenge model, the registration/login endpoint contract, and why delivery is simulated — is in Farm_Master_SDD_Stage6.docx and Farm_Master_API_Documentation_Stage6.docx.</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