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p>
      <w:pPr>
        <w:pStyle w:val="Heading1"/>
      </w:pPr>
      <w:r>
        <w:t>34. Reference Data: Regions, Fulfilment Centres, Crops, Unions (11 October 2026)</w:t>
      </w:r>
    </w:p>
    <w:p>
      <w:r>
        <w:t>The CEO demo presents a national picture (four crops, 16 regional fulfilment centres, farmers outside Greater Accra) while the PRD pilot is maize in Tema. Brief sections 2A-2C resolve this as data, not code: everything is modelled and seeded, and the pilot is simply the active subset.</w:t>
      </w:r>
    </w:p>
    <w:p>
      <w:pPr>
        <w:pStyle w:val="ListBullet"/>
      </w:pPr>
      <w:r>
        <w:t>regions (16, Greater Accra active) and fulfilment_centres (one per region, Tema flagged is_hq and active; it cannot be deactivated).</w:t>
      </w:r>
    </w:p>
    <w:p>
      <w:pPr>
        <w:pStyle w:val="ListBullet"/>
      </w:pPr>
      <w:r>
        <w:t>crops + crop_varieties: Maize/Obatanpa (active for ordering), White Rice/Jasmine 85, Soybean/Jenguma, Tomato/Pectomech. reference_price_per_tonne pre-fills the buyer's target price (decision D2). Prices for the three inactive crops are PROVISIONAL, BUSINESS-UNCONFIRMED placeholders.</w:t>
      </w:r>
    </w:p>
    <w:p>
      <w:pPr>
        <w:pStyle w:val="ListBullet"/>
      </w:pPr>
      <w:r>
        <w:t>farmer_unions (name only; union management is Phase 2) and farmer_crops (the crops a farmer is registered to grow, the Phase 1 opportunity filter).</w:t>
      </w:r>
    </w:p>
    <w:p>
      <w:pPr>
        <w:pStyle w:val="ListBullet"/>
      </w:pPr>
      <w:r>
        <w:t>users gains region_id, farmer_union_id, buyer_type (institutional/private), mofa_verified and vendor_ownership (owned/third_party). All are nullable because internal staff have none of them.</w:t>
      </w:r>
    </w:p>
    <w:p>
      <w:pPr>
        <w:pStyle w:val="ListBullet"/>
      </w:pPr>
      <w:r>
        <w:t>app/reference.py seeds all of this idempotently and backfills the seeded accounts' profiles. profile_line() builds every portal header's 'Signed in as' text from real data.</w:t>
      </w:r>
    </w:p>
    <w:p>
      <w:pPr>
        <w:pStyle w:val="ListBullet"/>
      </w:pPr>
      <w:r>
        <w:t>The landing-page ledger is now computed by GET /api/public/stats instead of being hard-coded; revenue_streams_count is a new rate_config row.</w:t>
      </w:r>
    </w:p>
    <w:p>
      <w:pPr>
        <w:pStyle w:val="ListBullet"/>
      </w:pPr>
      <w:r>
        <w:t>Migration 0002_reference_data creates the buyertype/vendorownership ENUM types explicitly (add_column does not) and names its foreign keys so downgrade works.</w:t>
      </w:r>
    </w:p>
    <w:p>
      <w:pPr>
        <w:pStyle w:val="Heading1"/>
      </w:pPr>
      <w:r>
        <w:t>35. Payments Behind a Provider Interface, Fee Rules and FM-#### Orders (11 October 2026)</w:t>
      </w:r>
    </w:p>
    <w:p>
      <w:r>
        <w:t>Until this pass, POST /buyer/requirements/{id}/pay marked a mobile money payment SUCCESS synchronously (simulated), and card returned 501. The CEO demo brief (sections 2D and 5.1) requires a provider interface, a sandbox driver first, and pending-to-webhook confirmation, with the order never marked paid on the client side.</w:t>
      </w:r>
    </w:p>
    <w:p>
      <w:pPr>
        <w:pStyle w:val="Heading2"/>
      </w:pPr>
      <w:r>
        <w:t>35.1 PaymentProvider interface</w:t>
      </w:r>
    </w:p>
    <w:p>
      <w:pPr>
        <w:pStyle w:val="ListBullet"/>
      </w:pPr>
      <w:r>
        <w:t>app/payments/base.py defines initiate(InitiateRequest) -&gt; InitiateResult and parse_webhook(headers, body) -&gt; WebhookEvent. A driver can start a payment and verify a callback; it cannot mark anything paid.</w:t>
      </w:r>
    </w:p>
    <w:p>
      <w:pPr>
        <w:pStyle w:val="ListBullet"/>
      </w:pPr>
      <w:r>
        <w:t>app/payments/service.py is the only code that changes a payment's status. apply_webhook() runs only on a verified event, is idempotent (retried or late callbacks are no-ops), and fails the payment if the amount the provider reports differs from the expected fee.</w:t>
      </w:r>
    </w:p>
    <w:p>
      <w:pPr>
        <w:pStyle w:val="ListBullet"/>
      </w:pPr>
      <w:r>
        <w:t>Drivers: sandbox (default; HMAC-SHA256-signed webhooks), paystack (Charge API for MoMo, Transaction Initialize for card, HMAC-SHA512 signature check) and hubtel (Receive Money for MoMo, Online Checkout for card; Hubtel callbacks are unsigned, so the driver re-reads the transaction from the Transaction Status API and trusts only that). The Paystack and Hubtel drivers are written to the providers' published APIs and tested with a mocked HTTP transport only. They have NOT been run against live credentials, because the gateway choice is still open (PRD 1.1).</w:t>
      </w:r>
    </w:p>
    <w:p>
      <w:pPr>
        <w:pStyle w:val="ListBullet"/>
      </w:pPr>
      <w:r>
        <w:t>Selected by FARM_MASTER_PAYMENT_PROVIDER (sandbox | paystack | hubtel). The sandbox 'approve on phone' simulator endpoint exists only while the sandbox is active.</w:t>
      </w:r>
    </w:p>
    <w:p>
      <w:pPr>
        <w:pStyle w:val="ListBullet"/>
      </w:pPr>
      <w:r>
        <w:t>Payment options are labelled by current brand names: MTN MoMo, Telecel Cash (formerly Vodafone Cash), AT Money (formerly AirtelTigo Money), Card. The old method names (momo/vodafone/airteltigo/card) are still accepted.</w:t>
      </w:r>
    </w:p>
    <w:p>
      <w:pPr>
        <w:pStyle w:val="Heading2"/>
      </w:pPr>
      <w:r>
        <w:t>35.2 Commitment fee as a rule</w:t>
      </w:r>
    </w:p>
    <w:p>
      <w:r>
        <w:t>commitment_fee_rules holds per_tonne or percent_of_value rules, each with a minimum. Exactly one is active, and creating a rule deactivates the previous one (audited). The seeded rule is PRD section 10's GHS 90 per tonne with a GHS 90 minimum, mathematically identical to the max(rate, qty x rate) it replaces, so no existing figure changed. The CEO demo's fixed GHS 1,800 is just a sample output (20 t under this rule). The old rate_config row buyer_commitment_fee_per_tonne is marked SUPERSEDED and edits to it return 409.</w:t>
      </w:r>
    </w:p>
    <w:p>
      <w:pPr>
        <w:pStyle w:val="Heading2"/>
      </w:pPr>
      <w:r>
        <w:t>35.3 Orders</w:t>
      </w:r>
    </w:p>
    <w:p>
      <w:pPr>
        <w:pStyle w:val="ListBullet"/>
      </w:pPr>
      <w:r>
        <w:t>buyer_requirements gains reference (FM-#### from the Postgres sequence buyer_requirement_ref_seq, starting at FM-1001; existing rows were backfilled in creation order), crop_variety_id, spec_notes and delivery_by (a real date validated against rate_config buyer_min_lead_time_days, default 28, PROVISIONAL).</w:t>
      </w:r>
    </w:p>
    <w:p>
      <w:pPr>
        <w:pStyle w:val="ListBullet"/>
      </w:pPr>
      <w:r>
        <w:t>RequirementStatus gains DELIVERED (the demo's last step). The stepper, badge and progress % are derived from status in app/orders.py, never stored: pending_payment 'Awaiting payment' 5%, matching 'Matching farmers' 20%, production 45%, aggregation 'Aggregating' 70%, shipment 'In transit' 90%, delivered 100%.</w:t>
      </w:r>
    </w:p>
    <w:p>
      <w:pPr>
        <w:pStyle w:val="ListBullet"/>
      </w:pPr>
      <w:r>
        <w:t>Price per tonne stays on the form (decision D2), pre-filled from the crop reference price.</w:t>
      </w:r>
    </w:p>
    <w:p>
      <w:pPr>
        <w:pStyle w:val="ListBullet"/>
      </w:pPr>
      <w:r>
        <w:t>Migration 0003_payments adds the enum value in an autocommit block, creates the sequence, and carries existing simulated payments over into the new provider/network columns.</w:t>
      </w:r>
    </w:p>
    <w:p>
      <w:pPr>
        <w:pStyle w:val="Heading1"/>
      </w:pPr>
      <w:r>
        <w:t>36. Buyer Portal Page, Built to the CEO Demo (11 October 2026)</w:t>
      </w:r>
    </w:p>
    <w:p>
      <w:r>
        <w:t>frontend/portal_buyer.html, served at /buyer, is the first of the portal pages built to the CEO demo (decision D8: vanilla HTML/CSS/JS on the shared design system, no framework). It reuses FM.portal() from components.js for the top bar, role check, sign-in fallback and 'Signed in as' line from GET /auth/me.</w:t>
      </w:r>
    </w:p>
    <w:p>
      <w:pPr>
        <w:pStyle w:val="ListBullet"/>
      </w:pPr>
      <w:r>
        <w:t>Nothing on the form is hard-coded: crops/varieties, the earliest delivery date, the reference price and the payment options come from GET /buyer/order-form, and the fee line is a live GET /buyer/fee-quote with the rule's own explanation.</w:t>
      </w:r>
    </w:p>
    <w:p>
      <w:pPr>
        <w:pStyle w:val="ListBullet"/>
      </w:pPr>
      <w:r>
        <w:t>Submitting creates the requirement (pending_payment, FM-#### reference) and opens the modal: choose network (+ MoMo number) -&gt; pending (polls GET /buyer/payments/{id} every 1.5s; sandbox shows Approve/Decline on phone buttons; card shows the provider checkout link) -&gt; Payment confirmed -&gt; Done inserts the order at the top with its detail row open and shows the demo toast. A failed payment offers Try again; Cancel leaves the order saved with a Pay action in its detail row.</w:t>
      </w:r>
    </w:p>
    <w:p>
      <w:pPr>
        <w:pStyle w:val="ListBullet"/>
      </w:pPr>
      <w:r>
        <w:t>Orders table: reference, crop, quantity, a status badge and a progress bar, all derived server-side. Rows expand on click, Enter or Space to show the five-step stepper plus variety, delivery date, price, fee and spec notes.</w:t>
      </w:r>
    </w:p>
    <w:p>
      <w:pPr>
        <w:pStyle w:val="ListBullet"/>
      </w:pPr>
      <w:r>
        <w:t>Verified at 390 / 820 / 1400px with scripts/responsive_check.py (no horizontal scroll) and clicked through end to end against the dev database.</w:t>
      </w:r>
    </w:p>
    <w:p>
      <w:pPr>
        <w:pStyle w:val="Heading1"/>
      </w:pPr>
      <w:r>
        <w:t>37. Fleet, Logistics Events, Aggregation and State Transitions (11 October 2026)</w:t>
      </w:r>
    </w:p>
    <w:p>
      <w:pPr>
        <w:pStyle w:val="ListBullet"/>
      </w:pPr>
      <w:r>
        <w:t>vehicles: code, type (tricycle/truck), home centre, status. dispatch_jobs and trunking_jobs gain a nullable vehicle_id; trunking_jobs also gain origin_centre_id. Dispatching marks the vehicle on_job, and delivery releases it unless it is still out on another job.</w:t>
      </w:r>
    </w:p>
    <w:p>
      <w:pPr>
        <w:pStyle w:val="ListBullet"/>
      </w:pPr>
      <w:r>
        <w:t>logistics_events: an append-only history (kind, job links, order, vehicle, centre, crop, tonnes, public_text, detail). app/fleet.py writes public_text at emit time from aggregate facts only (region, centre town, vehicle code, tonnes, crop), so the public feed can serve it verbatim without leaking a farmer's name or number. detail keeps the internal version.</w:t>
      </w:r>
    </w:p>
    <w:p>
      <w:pPr>
        <w:pStyle w:val="ListBullet"/>
      </w:pPr>
      <w:r>
        <w:t>Aggregation: fulfilment_intakes gain fulfilment_centre_id (the farmer's active regional centre, else Tema HQ) and crop_id (from the linked order, else the farmer's registered crop). Intakes are the per-centre, per-crop, per-day record, and today's figure is a query, not a separate table. The first non-reject intake against an order in production moves it to aggregation.</w:t>
      </w:r>
    </w:p>
    <w:p>
      <w:pPr>
        <w:pStyle w:val="ListBullet"/>
      </w:pPr>
      <w:r>
        <w:t>Order progression after aggregation (shipment, delivered) is an explicit logistics/ops action, POST /ops/requirements/{id}/advance.</w:t>
      </w:r>
    </w:p>
    <w:p>
      <w:pPr>
        <w:pStyle w:val="ListBullet"/>
      </w:pPr>
      <w:r>
        <w:t>app/state.py holds one ALLOWED table per status enum (buyer order, dispatch job, trunking job, opportunity, input order). transition() raises a 409 for anything else, and payment confirmation, matching assignment, dispatch, delivery, trunking and intake now all go through it.</w:t>
      </w:r>
    </w:p>
    <w:p>
      <w:pPr>
        <w:pStyle w:val="Heading1"/>
      </w:pPr>
      <w:r>
        <w:t>38. Public Landing Page (11 October 2026)</w:t>
      </w:r>
    </w:p>
    <w:p>
      <w:r>
        <w:t>frontend/portal_overview.html, served at /, rebuilds the demo's Overview screen. The hero copy and the four-step 'How it works' panel are taken from the demo. The ledger values (portals, fulfilment centres, revenue streams, head office) come from GET /api/public/stats, and the head-office town also fills the 'trunk them to ...' step. The portal cards link to /farmer, /buyer and /marketplace, each of which shows sign-in with a register link when signed out. The ticker uses FM.ticker on GET /api/public/activity: 5s rotation, 60s refresh, text swapped without fading under prefers-reduced-motion, and a neutral placeholder line until the fleet has produced events. Verified at 390/820/1400px.</w:t>
      </w:r>
    </w:p>
    <w:p>
      <w:pPr>
        <w:pStyle w:val="Heading1"/>
      </w:pPr>
      <w:r>
        <w:t>39. Farmer Matching, Formula Steps, Agronomist Tasks and the Wallet Ledger (11 October 2026)</w:t>
      </w:r>
    </w:p>
    <w:p>
      <w:pPr>
        <w:pStyle w:val="ListBullet"/>
      </w:pPr>
      <w:r>
        <w:t>Matching (app/matching.py): opportunities gain crop_id, region_id and delivery_by, stamped by the Matching Queue from the requirement's variety, the farmer's region and the requirement's date. The Phase 1 rule shows an opportunity when it is assigned to the farmer, or unassigned with a NULL-or-equal region and a NULL-or-registered crop. This also fixes a pre-existing leak: GET /farmer/opportunities used to return opportunities assigned to other farmers.</w:t>
      </w:r>
    </w:p>
    <w:p>
      <w:pPr>
        <w:pStyle w:val="ListBullet"/>
      </w:pPr>
      <w:r>
        <w:t>Opportunity stepper: open -&gt; Matched; accepted -&gt; In production; accepted with a harvest pickup or an order at aggregation or later -&gt; Harvest &amp; delivery.</w:t>
      </w:r>
    </w:p>
    <w:p>
      <w:pPr>
        <w:pStyle w:val="ListBullet"/>
      </w:pPr>
      <w:r>
        <w:t>Formula steps: formula_steps rows per requirement, authored by agronomy. Until saved, the draft is the variety's default_formula_steps template (seeded from the CEO demo text, week placeholders filled from the formula plan) plus the buyer's spec notes. Once accepted, the farmer also sees their own computed input quantities.</w:t>
      </w:r>
    </w:p>
    <w:p>
      <w:pPr>
        <w:pStyle w:val="ListBullet"/>
      </w:pPr>
      <w:r>
        <w:t>Acceptance side effects: an agronomist_tasks row with due_at = now + agronomist_task_sla_hours (48, PROVISIONAL), an in-app Notification (new type opportunity_accepted) and a simulated SMS in ussd_sms_logs. Commitments confirmation is still required (decision D5).</w:t>
      </w:r>
    </w:p>
    <w:p>
      <w:pPr>
        <w:pStyle w:val="ListBullet"/>
      </w:pPr>
      <w:r>
        <w:t>Wallet ledger (decision D4): wallet_ledger is append-only, with (farmer, source, reference) unique. sync_farmer_ledger() posts what the farmer's records imply: estimated settlement credits (accepted tonnes x price x (1 - trading margin)), input-order debits and reversal credits for declined orders, and a logistics fee debit per delivered dispatch job. Estimated payout = settlement - input costs - logistics fees. The actual, delivery-and-grade-based settlement is unchanged on GET /farmer/wallet.</w:t>
      </w:r>
    </w:p>
    <w:p>
      <w:pPr>
        <w:pStyle w:val="ListBullet"/>
      </w:pPr>
      <w:r>
        <w:t>Migration 0005_farmer adds the two notificationtype values via ALTER TYPE (they can't be dropped on downgrade).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