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POST /auth/login — body {email, password} — returns {access_token, token_type: "bearer", role, full_name}.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</w:tbl>
    <w:p>
      <w:pPr>
        <w:pStyle w:val="Heading1"/>
      </w:pPr>
      <w:r>
        <w:t>6.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7. Not Yet Built</w:t>
      </w:r>
    </w:p>
    <w:p>
      <w:r>
        <w:rPr>
          <w:b w:val="0"/>
          <w:i w:val="0"/>
        </w:rPr>
        <w:t>The remaining Internal Operations screens' endpoints (Matching Queue, Formula Builder, Logistics Dispatch, Fulfilment Intake, Finance &amp; Reconciliation, Reporting, MoFA Data Exchange), a Buyer-side path for the vendor date-conflict override (Super Admin only, this pass -- see SDD Section 10), and any real mobile money/USSD/MoFA gateway integration.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