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THIRD PASS — backend foundation, the Buyer commitment-fee flow, the Farmer opportunity-acceptance + formula flow, AND the Vendor mechanisation-request flow (including the vendor date-conflict override as a real two-party Super-Admin-approved workflow), all real and tested end to end. The rest of Internal Operations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SQLite for local pilot development (zero-install, a single file) — every model uses standard SQLAlchemy types with no SQLite-specific features, so moving to PostgreSQL for production later (the PRD's “central relational database” requirement) is a connection-string and driver change, not a rewrite.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 Agronomist, Logistics, Vendor</w:t>
            </w:r>
          </w:p>
        </w:tc>
        <w:tc>
          <w:tcPr>
            <w:tcW w:type="dxa" w:w="3744"/>
          </w:tcPr>
          <w:p>
            <w:r>
              <w:t>Seeded for future endpoints; no routes built yet this pass</w:t>
            </w:r>
          </w:p>
        </w:tc>
        <w:tc>
          <w:tcPr>
            <w:tcW w:type="dxa" w:w="3744"/>
          </w:tcPr>
          <w:p>
            <w:r>
              <w:t>—</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(submit → pay → status) against a real database, wired to a real frontend page, tested end to end including the RBAC-denial and card-501 paths.</w:t>
      </w:r>
    </w:p>
    <w:p>
      <w:pPr>
        <w:pStyle w:val="ListBullet"/>
      </w:pPr>
      <w:r>
        <w:t>Not yet built: Farmer and Vendor flow endpoints, the remaining Internal Operations screens' backends (Matching Queue, Formula Builder, Logistics Dispatch, Fulfilment Intake, Finance &amp; Reconciliation, Reporting, MoFA Data Exchange), the vendor date-conflict override endpoint, and any real mobile money/USSD/MoFA integration.</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