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all three highest-stakes flows as real, tested code in Stage 6 Build/: Buyer commitment-fee payment, Farmer opportunity-acceptance + formula, and Vendor mechanisation request. RBAC (7 roles), audit logging, and Finance/Super Admin segregation are foundational. The vendor date-conflict override is a real two-party workflow -- a vendor cannot approve its own override; only Super Admin can, via a separate audited endpoint. See Farm_Master_SDD_Stage6.docx and Farm_Master_API_Documentation_Stage6.docx. Remaining: the rest of Internal Operations (Matching Queue, Formula Builder, Logistics Dispatch, Fulfilment Intake, Finance &amp; Reconciliation, Reporting, MoFA Data Exchange).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