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Farm Master Digital Ecosystem</w:t>
      </w:r>
    </w:p>
    <w:p>
      <w:pPr>
        <w:pStyle w:val="Heading1"/>
        <w:spacing w:after="100"/>
      </w:pPr>
      <w:r>
        <w:t xml:space="preserve">Web App Project: Workflow &amp; Documentation Guide</w:t>
      </w:r>
    </w:p>
    <w:p>
      <w:pPr>
        <w:spacing w:after="200"/>
      </w:pPr>
      <w:r>
        <w:rPr>
          <w:i/>
          <w:iCs/>
        </w:rPr>
        <w:t xml:space="preserve">A stage-by-stage guide for building the Farm Master three-portal platform (Farmer, Buyer, Vendor) with Claude, end-to-end — combining the project workflow stages with the documentation required at each stage, in the order they should be done.</w:t>
      </w:r>
    </w:p>
    <w:p>
      <w:pPr>
        <w:pStyle w:val="Heading1"/>
        <w:spacing w:after="120" w:before="300"/>
      </w:pPr>
      <w:r>
        <w:t xml:space="preserve">How to Use This Guide</w:t>
      </w:r>
    </w:p>
    <w:p>
      <w:pPr>
        <w:spacing w:after="160"/>
      </w:pPr>
      <w:r>
        <w:t xml:space="preserve">Each stage below includes: (1) what to do at that point in the project, (2) what to ask Claude for — tailored to Farm Master's three portals, internal control centre, and Ghana-specific constraints (mobile money, USSD/SMS, offline-tolerant field data) — and (3) the documentation that should be produced or updated at that stage. Work through the stages in order — don't skip ahead to code or visuals before the earlier documents are locked in, since each later stage checks itself against the documents that came before. Because this project has three distinct portals plus an internal control centre, it's especially important to move through stages one portal at a time rather than trying to design or build all three together.</w:t>
      </w:r>
    </w:p>
    <w:p>
      <w:pPr>
        <w:pStyle w:val="Heading1"/>
        <w:spacing w:after="120" w:before="300"/>
      </w:pPr>
      <w:r>
        <w:t xml:space="preserve">Stage 1 — Discovery &amp; Scope</w:t>
      </w:r>
    </w:p>
    <w:p>
      <w:pPr>
        <w:spacing w:after="160"/>
      </w:pPr>
      <w:r>
        <w:t>Tell Claude: the three external user types (Farmers/farmer unions, Buyers — institutional/MoFA-linked and private, and Vendors — third-party and Farm Master-owned) plus the internal roles (Agronomist, Logistics, Admin) that need distinct permissions. Confirm the core problem — fragmented smallholder market access, inconsistent input/mechanisation access, and buyers unable to source consistent, specification-compliant volumes. Give Claude the 3–5 must-have features for the pilot (e.g. buyer crop request + commitment fee payment, farmer opportunity board + production formula, vendor input ordering with logistics dispatch), and the confirmed tech constraints: responsive web app as primary build — desktop, tablet (iOS and Android), and phone (iOS and Android) as three explicit, first-class breakpoints from Stage 3 onward, not a Stage 4 styling afterthought, USSD/SMS fallback for farmers without smartphones, mobile money as the primary payment rail (MTN MoMo, Vodafone Cash, AirtelTigo Money), and a central relational database supporting full order-to-farm-to-buyer traceability. Claude turns this into a scoped feature list, by portal, for you to correct before moving on.</w:t>
      </w:r>
    </w:p>
    <w:p>
      <w:pPr>
        <w:pStyle w:val="Heading2"/>
        <w:spacing w:after="80" w:before="200"/>
      </w:pPr>
      <w:r>
        <w:t xml:space="preserve">Documentation produced at this stage</w:t>
      </w:r>
    </w:p>
    <w:p>
      <w:pPr>
        <w:pStyle w:val="ListParagraph"/>
        <w:numPr>
          <w:ilvl w:val="0"/>
          <w:numId w:val="2"/>
        </w:numPr>
        <w:spacing w:after="80"/>
      </w:pPr>
      <w:r>
        <w:rPr>
          <w:b/>
          <w:bCs/>
        </w:rPr>
        <w:t xml:space="preserve">Product Requirements Document (PRD) — </w:t>
      </w:r>
      <w:r>
        <w:t xml:space="preserve">problem statement, goals per portal, target users (Farmer, Buyer, Vendor, plus internal Agronomist/Logistics/Admin), must-have features for the pilot region, the six revenue streams as success metrics, and what's explicitly out of scope for Phase 1 (e.g. native mobile app, additional regions beyond the pilot).</w:t>
      </w:r>
    </w:p>
    <w:p>
      <w:pPr>
        <w:spacing w:after="160"/>
      </w:pPr>
      <w:r>
        <w:t xml:space="preserve">This PRD becomes the reference point every later stage is checked against, so scope doesn't drift as the project grows across three portals and multiple regions.</w:t>
      </w:r>
    </w:p>
    <w:p>
      <w:pPr>
        <w:pStyle w:val="Heading1"/>
        <w:spacing w:after="120" w:before="300"/>
      </w:pPr>
      <w:r>
        <w:t xml:space="preserve">Stage 2 — Information Architecture</w:t>
      </w:r>
    </w:p>
    <w:p>
      <w:pPr>
        <w:spacing w:after="160"/>
      </w:pPr>
      <w:r>
        <w:t xml:space="preserve">Ask Claude to map out every screen/page for each portal separately — Farmer, Buyer, Vendor — plus the internal Farm Master control centre, and how users move between them, before any visuals are made. Mistakes are cheap to fix here and expensive to fix later, especially given how many handoffs exist between portals (a farmer's input order routes through the Vendor Portal to Logistics; a buyer's order flows through agronomy, farmer matching, and fulfilment centres).</w:t>
      </w:r>
    </w:p>
    <w:p>
      <w:pPr>
        <w:pStyle w:val="Heading2"/>
        <w:spacing w:after="80" w:before="200"/>
      </w:pPr>
      <w:r>
        <w:t xml:space="preserve">Documentation produced at this stage</w:t>
      </w:r>
    </w:p>
    <w:p>
      <w:pPr>
        <w:pStyle w:val="ListParagraph"/>
        <w:numPr>
          <w:ilvl w:val="0"/>
          <w:numId w:val="2"/>
        </w:numPr>
        <w:spacing w:after="80"/>
      </w:pPr>
      <w:r>
        <w:rPr>
          <w:b/>
          <w:bCs/>
        </w:rPr>
        <w:t xml:space="preserve">Sitemap — </w:t>
      </w:r>
      <w:r>
        <w:t xml:space="preserve">every page/screen across all three portals and the internal control centre, and how they connect to one another (e.g. Farmer Portal registration/KYC → opportunity board → production formula → Vendor Portal handoff → harvest scheduling → wallet).</w:t>
      </w:r>
    </w:p>
    <w:p>
      <w:pPr>
        <w:pStyle w:val="ListParagraph"/>
        <w:numPr>
          <w:ilvl w:val="0"/>
          <w:numId w:val="2"/>
        </w:numPr>
        <w:spacing w:after="80"/>
      </w:pPr>
      <w:r>
        <w:rPr>
          <w:b/>
          <w:bCs/>
        </w:rPr>
        <w:t xml:space="preserve">User flow diagrams — </w:t>
      </w:r>
      <w:r>
        <w:t xml:space="preserve">step-by-step paths for the three core journeys already defined in the concept document: the Buyer journey (submit crop requirement → pay commitment fee → track production → receive produce → settle invoice), the Farmer journey (register → accept opportunity → receive production formula → order inputs → log milestones → request pickup → receive settlement), and the Vendor/Farmer purchase journey (browse → order/book → route to logistics → deliver → confirm → vendor payout).</w:t>
      </w:r>
    </w:p>
    <w:p>
      <w:pPr>
        <w:pStyle w:val="Heading1"/>
        <w:spacing w:after="120" w:before="300"/>
      </w:pPr>
      <w:r>
        <w:t xml:space="preserve">Stage 3 — Low-Fi Wireframes</w:t>
      </w:r>
    </w:p>
    <w:p>
      <w:pPr>
        <w:spacing w:after="160"/>
      </w:pPr>
      <w:r>
        <w:t xml:space="preserve">Ask for basic layout mockups — boxes, labels, no styling — as an HTML/React artifact, one portal at a time (start with whichever portal is most central to your pilot, likely the Buyer Portal or Farmer Portal). Review structure and layout only at this stage; ignore colors and fonts. Include the logistics/dispatch module and fulfilment centre intake screens as their own wireframe set, since they sit outside the three farmer-facing portals.</w:t>
      </w:r>
    </w:p>
    <w:p>
      <w:r>
        <w:rPr>
          <w:b w:val="0"/>
          <w:i w:val="0"/>
        </w:rPr>
        <w:t>Device responsiveness is checked at this stage, not deferred to Stage 4: for each portal, review the low-fi wireframe at three explicit breakpoints — desktop (≥ 1024px), tablet 768–1023px (iPad/Android tablet), and phone &lt;768px (iPhone/Android) — and confirm how the layout structure itself changes: which grids collapse to fewer columns, whether the top navigation becomes a menu icon, and whether any table needs to scroll or become a card list. Colours and fonts stay out of scope; column counts and nav collapse do not. State up front which portal is phone-first (most likely the Farmer Portal, since farmers are the user type most likely to be on an Android phone) versus desktop/tablet-first, since that changes which breakpoint gets reviewed most critically.</w:t>
      </w:r>
    </w:p>
    <w:p>
      <w:pPr>
        <w:pStyle w:val="Heading1"/>
        <w:spacing w:after="120" w:before="300"/>
      </w:pPr>
      <w:r>
        <w:t xml:space="preserve">Stage 4 — Visual UI Design</w:t>
      </w:r>
    </w:p>
    <w:p>
      <w:pPr>
        <w:spacing w:after="160"/>
      </w:pPr>
      <w:r>
        <w:t>Once structure is approved, ask Claude to apply a visual style — reference Farm Master's agribusiness identity (aggregation, trade, agri-inputs, mechanisation) and a mood that reads as trustworthy and rooted in Ghanaian agriculture. Because the Farmer Portal must remain usable on lower-bandwidth, entry-level smartphones and account for varying literacy levels, favour a simple, icon-forward layout with minimal asset weight for that portal specifically — the Buyer and Vendor portals (used by institutional buyers, processors, and vendors on better connections) can carry a more data-dense, dashboard-style treatment. Iterate screen by screen and portal by portal rather than all at once. Carry the Stage 3 breakpoints into the visual system: touch targets ≥ 44px on tablet and phone (iOS Human Interface Guidelines / Android Material minimum) even where a desktop mouse pointer would tolerate smaller ones, and a spacing/type scale that steps down deliberately at each breakpoint rather than shrinking everything uniformly.</w:t>
      </w:r>
    </w:p>
    <w:p>
      <w:pPr>
        <w:pStyle w:val="Heading2"/>
        <w:spacing w:after="80" w:before="200"/>
      </w:pPr>
      <w:r>
        <w:t xml:space="preserve">Documentation produced at this stage</w:t>
      </w:r>
    </w:p>
    <w:p>
      <w:pPr>
        <w:pStyle w:val="ListParagraph"/>
        <w:numPr>
          <w:ilvl w:val="0"/>
          <w:numId w:val="2"/>
        </w:numPr>
        <w:spacing w:after="80"/>
      </w:pPr>
      <w:r>
        <w:rPr>
          <w:b/>
          <w:bCs/>
        </w:rPr>
        <w:t xml:space="preserve">Style guide / design system doc — </w:t>
      </w:r>
      <w:r>
        <w:t xml:space="preserve">colors, typography, spacing, and component rules, with any variations needed between the lightweight Farmer Portal treatment and the denser Buyer/Vendor/internal-control-centre treatment, so the UI stays consistent as the platform grows across regions.</w:t>
      </w:r>
    </w:p>
    <w:p>
      <w:pPr>
        <w:pStyle w:val="Heading1"/>
        <w:spacing w:after="120" w:before="300"/>
      </w:pPr>
      <w:r>
        <w:t xml:space="preserve">Stage 5 — Interactive Prototype</w:t>
      </w:r>
    </w:p>
    <w:p>
      <w:pPr>
        <w:spacing w:after="160"/>
      </w:pPr>
      <w:r>
        <w:t xml:space="preserve">Ask Claude to wire up clickable states for the highest-stakes flows first — the buyer commitment-fee payment step, a farmer accepting a crop opportunity and receiving a production formula, and a vendor rental/mechanisation booking — in the same artifact so each behaves like the real product before any backend code is written.</w:t>
      </w:r>
    </w:p>
    <w:p>
      <w:pPr>
        <w:pStyle w:val="Heading1"/>
        <w:spacing w:after="120" w:before="300"/>
      </w:pPr>
      <w:r>
        <w:t xml:space="preserve">Stage 6 — Build (Real Code)</w:t>
      </w:r>
    </w:p>
    <w:p>
      <w:pPr>
        <w:spacing w:after="160"/>
      </w:pPr>
      <w:r>
        <w:t xml:space="preserve">Move to actual implementation. Claude writes backend/frontend code as real files, not just artifacts, once the design is locked in for the portal(s) in scope for the pilot.</w:t>
      </w:r>
    </w:p>
    <w:p>
      <w:pPr>
        <w:pStyle w:val="Heading2"/>
        <w:spacing w:after="80" w:before="200"/>
      </w:pPr>
      <w:r>
        <w:t xml:space="preserve">Documentation produced at this stage</w:t>
      </w:r>
    </w:p>
    <w:p>
      <w:pPr>
        <w:pStyle w:val="ListParagraph"/>
        <w:numPr>
          <w:ilvl w:val="0"/>
          <w:numId w:val="2"/>
        </w:numPr>
        <w:spacing w:after="80"/>
      </w:pPr>
      <w:r>
        <w:rPr>
          <w:b/>
          <w:bCs/>
        </w:rPr>
        <w:t xml:space="preserve">Software/System Design Document (SDD) — </w:t>
      </w:r>
      <w:r>
        <w:t xml:space="preserve">architecture, tech stack, database schema, data flow, and third-party integrations — including role-based access control across Farmer, Buyer, Vendor, Agronomist, Logistics, and Admin permissions, the mobile money integration (MTN MoMo, Vodafone Cash, AirtelTigo Money), the USSD/SMS gateway for farmer alerts and confirmations, and offline-tolerant data capture at regional fulfilment centres.</w:t>
      </w:r>
    </w:p>
    <w:p>
      <w:pPr>
        <w:pStyle w:val="ListParagraph"/>
        <w:numPr>
          <w:ilvl w:val="0"/>
          <w:numId w:val="2"/>
        </w:numPr>
        <w:spacing w:after="80"/>
      </w:pPr>
      <w:r>
        <w:rPr>
          <w:b/>
          <w:bCs/>
        </w:rPr>
        <w:t xml:space="preserve">Database schema doc — </w:t>
      </w:r>
      <w:r>
        <w:t xml:space="preserve">tables, fields, and relationships for the central data model — farmer/farmer-union profiles, buyer orders, production formulas, vendor transactions and listings, logistics jobs, fulfilment centre intake/grading records, and farmer wallet/settlement statements — designed for full order-to-farm-to-buyer traceability.</w:t>
      </w:r>
    </w:p>
    <w:p>
      <w:pPr>
        <w:pStyle w:val="ListParagraph"/>
        <w:numPr>
          <w:ilvl w:val="0"/>
          <w:numId w:val="2"/>
        </w:numPr>
        <w:spacing w:after="80"/>
      </w:pPr>
      <w:r>
        <w:rPr>
          <w:b/>
          <w:bCs/>
        </w:rPr>
        <w:t xml:space="preserve">API documentation — </w:t>
      </w:r>
      <w:r>
        <w:t xml:space="preserve">endpoints, request/response formats, and auth method, including the mobile money payment/webhook endpoints and the USSD/SMS gateway endpoints — essential once the three portals, the logistics/dispatch module, and payment rails are built and integrated separately.</w:t>
      </w:r>
    </w:p>
    <w:p>
      <w:pPr>
        <w:pStyle w:val="ListParagraph"/>
        <w:numPr>
          <w:ilvl w:val="0"/>
          <w:numId w:val="2"/>
        </w:numPr>
        <w:spacing w:after="80"/>
      </w:pPr>
      <w:r>
        <w:rPr>
          <w:b/>
          <w:bCs/>
        </w:rPr>
        <w:t xml:space="preserve">README — </w:t>
      </w:r>
      <w:r>
        <w:t xml:space="preserve">setup instructions, environment variables (mobile money API keys, USSD/SMS gateway credentials, database connection), and how to run the project locally.</w:t>
      </w:r>
    </w:p>
    <w:p>
      <w:pPr>
        <w:pStyle w:val="Heading1"/>
        <w:spacing w:after="120" w:before="300"/>
      </w:pPr>
      <w:r>
        <w:t xml:space="preserve">Stage 7 — Test &amp; Iterate</w:t>
      </w:r>
    </w:p>
    <w:p>
      <w:pPr>
        <w:spacing w:after="160"/>
      </w:pPr>
      <w:r>
        <w:t xml:space="preserve">Give Claude specific bug reports or behavior descriptions — "clicking X should do Y, currently does Z" — rather than a vague "fix it." Be specific about which portal and which role you were testing as, since the same action can behave differently for a Farmer, Buyer, Vendor, or Admin.</w:t>
      </w:r>
    </w:p>
    <w:p>
      <w:pPr>
        <w:pStyle w:val="Heading2"/>
        <w:spacing w:after="80" w:before="200"/>
      </w:pPr>
      <w:r>
        <w:t xml:space="preserve">Documentation produced at this stage</w:t>
      </w:r>
    </w:p>
    <w:p>
      <w:pPr>
        <w:pStyle w:val="ListParagraph"/>
        <w:numPr>
          <w:ilvl w:val="0"/>
          <w:numId w:val="2"/>
        </w:numPr>
        <w:spacing w:after="80"/>
      </w:pPr>
      <w:r>
        <w:rPr>
          <w:b/>
          <w:bCs/>
        </w:rPr>
        <w:t>Test plan / QA checklist — what to test before shipping, including role-based access checks (a Farmer cannot see Buyer order data, etc.), mobile money sandbox payment testing, USSD/SMS fallback testing, offline data capture and sync testing at fulfilment centres, device coverage across desktop, tablet (iOS and Android), and phone (iOS and Android) for every portal, with low-bandwidth/entry-level Android device testing specifically for the Farmer Portal, and edge cases and browser coverage generally.</w:t>
      </w:r>
      <w:r/>
    </w:p>
    <w:p>
      <w:pPr>
        <w:pStyle w:val="Heading1"/>
        <w:spacing w:after="120" w:before="300"/>
      </w:pPr>
      <w:r>
        <w:t xml:space="preserve">Stage 8 — Launch</w:t>
      </w:r>
    </w:p>
    <w:p>
      <w:pPr>
        <w:pStyle w:val="Heading2"/>
        <w:spacing w:after="80" w:before="200"/>
      </w:pPr>
      <w:r>
        <w:t xml:space="preserve">Documentation produced at this stage</w:t>
      </w:r>
    </w:p>
    <w:p>
      <w:pPr>
        <w:pStyle w:val="ListParagraph"/>
        <w:numPr>
          <w:ilvl w:val="0"/>
          <w:numId w:val="2"/>
        </w:numPr>
        <w:spacing w:after="80"/>
      </w:pPr>
      <w:r>
        <w:rPr>
          <w:b/>
          <w:bCs/>
        </w:rPr>
        <w:t xml:space="preserve">Deployment guide — </w:t>
      </w:r>
      <w:r>
        <w:t xml:space="preserve">hosting steps (with the regional data residency considerations appropriate for a Ghana-based agribusiness platform), environment configuration, mobile money production credentials, USSD short-code provisioning, and a rollback plan — scoped to the pilot region first, per the phased Implementation Roadmap, before scaling to additional regional capitals.</w:t>
      </w:r>
    </w:p>
    <w:p>
      <w:pPr>
        <w:pStyle w:val="Heading1"/>
        <w:spacing w:after="120" w:before="300"/>
      </w:pPr>
      <w:r>
        <w:t xml:space="preserve">Stage 9 — Handover &amp; Maintenance (Post-Launch)</w:t>
      </w:r>
    </w:p>
    <w:p>
      <w:pPr>
        <w:pStyle w:val="Heading2"/>
        <w:spacing w:after="80" w:before="200"/>
      </w:pPr>
      <w:r>
        <w:t xml:space="preserve">Documentation produced at this stage</w:t>
      </w:r>
    </w:p>
    <w:p>
      <w:pPr>
        <w:pStyle w:val="ListParagraph"/>
        <w:numPr>
          <w:ilvl w:val="0"/>
          <w:numId w:val="2"/>
        </w:numPr>
        <w:spacing w:after="80"/>
      </w:pPr>
      <w:r>
        <w:rPr>
          <w:b/>
          <w:bCs/>
        </w:rPr>
        <w:t xml:space="preserve">Handover documentation — </w:t>
      </w:r>
      <w:r>
        <w:t xml:space="preserve">everything a new developer or team member needs to pick up the project cold, across all three portals, the internal control centre, and the logistics/dispatch module.</w:t>
      </w:r>
    </w:p>
    <w:p>
      <w:pPr>
        <w:pStyle w:val="ListParagraph"/>
        <w:numPr>
          <w:ilvl w:val="0"/>
          <w:numId w:val="2"/>
        </w:numPr>
        <w:spacing w:after="80"/>
      </w:pPr>
      <w:r>
        <w:rPr>
          <w:b/>
          <w:bCs/>
        </w:rPr>
        <w:t xml:space="preserve">User manual / help docs — </w:t>
      </w:r>
      <w:r>
        <w:t xml:space="preserve">separate, role-appropriate guidance for Farmers, Buyers, Vendors, and internal Agronomist/Logistics/Admin users — keeping the Farmer-facing version simple and visual, consistent with the accessibility approach from Stage 4.</w:t>
      </w:r>
    </w:p>
    <w:p>
      <w:pPr>
        <w:pStyle w:val="ListParagraph"/>
        <w:numPr>
          <w:ilvl w:val="0"/>
          <w:numId w:val="2"/>
        </w:numPr>
        <w:spacing w:after="80"/>
      </w:pPr>
      <w:r>
        <w:rPr>
          <w:b/>
          <w:bCs/>
        </w:rPr>
        <w:t xml:space="preserve">Changelog — </w:t>
      </w:r>
      <w:r>
        <w:t xml:space="preserve">what changed, when, and why — especially important as the platform iterates and rolls out region by region, per the phased Implementation Roadmap.</w:t>
      </w:r>
    </w:p>
    <w:p>
      <w:pPr>
        <w:pStyle w:val="Heading1"/>
        <w:spacing w:after="120" w:before="300"/>
      </w:pPr>
      <w:r>
        <w:t xml:space="preserve">Engagement Habits That Make This Work</w:t>
      </w:r>
    </w:p>
    <w:p>
      <w:pPr>
        <w:pStyle w:val="ListParagraph"/>
        <w:numPr>
          <w:ilvl w:val="0"/>
          <w:numId w:val="2"/>
        </w:numPr>
        <w:spacing w:after="80"/>
      </w:pPr>
      <w:r>
        <w:t xml:space="preserve">One portal, one stage at a time — don't ask for Farmer Portal wireframes, Buyer Portal code, and Vendor Portal copy in the same prompt.</w:t>
      </w:r>
    </w:p>
    <w:p>
      <w:pPr>
        <w:pStyle w:val="ListParagraph"/>
        <w:numPr>
          <w:ilvl w:val="0"/>
          <w:numId w:val="2"/>
        </w:numPr>
        <w:spacing w:after="80"/>
      </w:pPr>
      <w:r>
        <w:t xml:space="preserve">Be specific about what changed when giving feedback — "move the commitment-fee button," not "make it better."</w:t>
      </w:r>
    </w:p>
    <w:p>
      <w:pPr>
        <w:pStyle w:val="ListParagraph"/>
        <w:numPr>
          <w:ilvl w:val="0"/>
          <w:numId w:val="2"/>
        </w:numPr>
        <w:spacing w:after="80"/>
      </w:pPr>
      <w:r>
        <w:t xml:space="preserve">Save or version things you like before asking for a big change, so you can roll back.</w:t>
      </w:r>
    </w:p>
    <w:p>
      <w:pPr>
        <w:pStyle w:val="ListParagraph"/>
        <w:numPr>
          <w:ilvl w:val="0"/>
          <w:numId w:val="2"/>
        </w:numPr>
        <w:spacing w:after="80"/>
      </w:pPr>
      <w:r>
        <w:t xml:space="preserve">Tell Claude the why behind a request — e.g. "this is for farmers on entry-level phones" changes font size, contrast, asset weight, and nav complexity differently than a request for the Buyer or internal Admin views.</w:t>
      </w:r>
    </w:p>
    <w:p>
      <w:pPr>
        <w:pStyle w:val="ListParagraph"/>
      </w:pPr>
      <w:r>
        <w:rPr>
          <w:b w:val="0"/>
          <w:i w:val="0"/>
        </w:rPr>
        <w:t>Say which device and breakpoint you're looking at when giving layout feedback — “this is broken on my Android phone” changes what Claude checks differently than “this looks cramped on an iPad.”</w:t>
      </w:r>
    </w:p>
    <w:p>
      <w:pPr>
        <w:pStyle w:val="ListParagraph"/>
        <w:numPr>
          <w:ilvl w:val="0"/>
          <w:numId w:val="2"/>
        </w:numPr>
        <w:spacing w:after="80"/>
      </w:pPr>
      <w:r>
        <w:t xml:space="preserve">Ask for each document at the stage it belongs to, not all at the end — it keeps the project honest as it evolves across three portals and a multi-region rollout.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2026-09-02T08:30:07.965Z</dcterms:created>
  <dcterms:modified xsi:type="dcterms:W3CDTF">2026-09-02T08:30:07.977Z</dcterms:modified>
</cp:coreProperties>
</file>

<file path=docProps/custom.xml><?xml version="1.0" encoding="utf-8"?>
<Properties xmlns="http://schemas.openxmlformats.org/officeDocument/2006/custom-properties" xmlns:vt="http://schemas.openxmlformats.org/officeDocument/2006/docPropsVTypes"/>
</file>