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p>
      <w:pPr>
        <w:pStyle w:val="Heading1"/>
      </w:pPr>
      <w:r>
        <w:t>33. Schema Migrations With Alembic (11 October 2026)</w:t>
      </w:r>
    </w:p>
    <w:p>
      <w:r>
        <w:t>Until this pass the schema was created by Base.metadata.create_all() at startup. That can add new tables, but it can never add a column or an enum value to an existing table, so every earlier schema change on an existing database relied on a dropped-and-recreated database. The CEO platform demo alignment adds columns to users, buyer_requirements and commitment_fee_payments, so Alembic was introduced (decision D6 in docs/ceo-demo-gap-report.md, flagged as a new dependency as the brief requires).</w:t>
      </w:r>
    </w:p>
    <w:p>
      <w:pPr>
        <w:pStyle w:val="ListBullet"/>
      </w:pPr>
      <w:r>
        <w:t>migrations/versions/0001_baseline is an autogenerated snapshot of the Stage 6 schema exactly as of commit f03fc41.</w:t>
      </w:r>
    </w:p>
    <w:p>
      <w:pPr>
        <w:pStyle w:val="ListBullet"/>
      </w:pPr>
      <w:r>
        <w:t>app/migrate.py runs at startup in place of create_all. If the database already has the users table but no alembic_version table (built by create_all before this change), it is stamped at 0001_baseline first, so only later revisions run.</w:t>
      </w:r>
    </w:p>
    <w:p>
      <w:pPr>
        <w:pStyle w:val="ListBullet"/>
      </w:pPr>
      <w:r>
        <w:t>alembic.ini carries no database URL. migrations/env.py always reads FARM_MASTER_DATABASE_URL via app.database, so a migration can never target a different database than the app.</w:t>
      </w:r>
    </w:p>
    <w:p>
      <w:pPr>
        <w:pStyle w:val="ListBullet"/>
      </w:pPr>
      <w:r>
        <w:t>tests/unit/test_migrations.py upgrades a scratch database to head and asserts Alembic's autogenerate comparator finds no difference from Base.metadata, so a model change without a revision fails the suite.</w:t>
      </w:r>
    </w:p>
    <w:p>
      <w:pPr>
        <w:pStyle w:val="ListBullet"/>
      </w:pPr>
      <w:r>
        <w:t>The E2E harness now also drops alembic_version when it resets farm_master_test, because drop_all only knows about mapped tables.</w:t>
      </w:r>
    </w:p>
    <w:p>
      <w:pPr>
        <w:pStyle w:val="Heading1"/>
      </w:pPr>
      <w:r>
        <w:t>34. Reference Data: Regions, Fulfilment Centres, Crops, Unions (11 October 2026)</w:t>
      </w:r>
    </w:p>
    <w:p>
      <w:r>
        <w:t>The CEO demo presents a national picture (four crops, 16 regional fulfilment centres, farmers outside Greater Accra) while the PRD pilot is maize in Tema. Brief sections 2A-2C resolve this as data, not code: everything is modelled and seeded, and the pilot is simply the active subset.</w:t>
      </w:r>
    </w:p>
    <w:p>
      <w:pPr>
        <w:pStyle w:val="ListBullet"/>
      </w:pPr>
      <w:r>
        <w:t>regions (16, Greater Accra active) and fulfilment_centres (one per region, Tema flagged is_hq and active; it cannot be deactivated).</w:t>
      </w:r>
    </w:p>
    <w:p>
      <w:pPr>
        <w:pStyle w:val="ListBullet"/>
      </w:pPr>
      <w:r>
        <w:t>crops + crop_varieties: Maize/Obatanpa (active for ordering), White Rice/Jasmine 85, Soybean/Jenguma, Tomato/Pectomech. reference_price_per_tonne pre-fills the buyer's target price (decision D2). Prices for the three inactive crops are PROVISIONAL, BUSINESS-UNCONFIRMED placeholders.</w:t>
      </w:r>
    </w:p>
    <w:p>
      <w:pPr>
        <w:pStyle w:val="ListBullet"/>
      </w:pPr>
      <w:r>
        <w:t>farmer_unions (name only; union management is Phase 2) and farmer_crops (the crops a farmer is registered to grow, the Phase 1 opportunity filter).</w:t>
      </w:r>
    </w:p>
    <w:p>
      <w:pPr>
        <w:pStyle w:val="ListBullet"/>
      </w:pPr>
      <w:r>
        <w:t>users gains region_id, farmer_union_id, buyer_type (institutional/private), mofa_verified and vendor_ownership (owned/third_party). All are nullable because internal staff have none of them.</w:t>
      </w:r>
    </w:p>
    <w:p>
      <w:pPr>
        <w:pStyle w:val="ListBullet"/>
      </w:pPr>
      <w:r>
        <w:t>app/reference.py seeds all of this idempotently and backfills the seeded accounts' profiles. profile_line() builds every portal header's 'Signed in as' text from real data.</w:t>
      </w:r>
    </w:p>
    <w:p>
      <w:pPr>
        <w:pStyle w:val="ListBullet"/>
      </w:pPr>
      <w:r>
        <w:t>The landing-page ledger is now computed by GET /api/public/stats instead of being hard-coded; revenue_streams_count is a new rate_config row.</w:t>
      </w:r>
    </w:p>
    <w:p>
      <w:pPr>
        <w:pStyle w:val="ListBullet"/>
      </w:pPr>
      <w:r>
        <w:t>Migration 0002_reference_data creates the buyertype/vendorownership ENUM types explicitly (add_column does not) and names its foreign keys so downgrade works.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