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All four portals are visually designed under one confirmed system. Stage 5 (Interactive Prototype), in Stage 5 Interactive Prototype/, has two of three highest-stakes flows built and tested: buyer_commitment_fee_flow.html (form validation, live fee calculation, payment method selection, processing state, order activation) and farmer_opportunity_formula_flow.html (opportunity selection carries real buyer/quantity/price data through every subsequent screen, all-4-checkboxes-required acceptance validation, and a production formula whose input quantities are calculated from the accepted tonnage rather than fixed). Both awaiting Emmanuel's review. Vendor mechanisation request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