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Stage 6 (Build) now covers nine real, tested flows in Stage 6 Build/: Buyer commitment-fee payment, Farmer opportunity-acceptance + formula, Vendor mechanisation request, the Matching Queue, the Production Formula Builder, Logistics Dispatch, Harvest Pickup Request, Fulfilment Centre Intake &amp; Grading, and Finance &amp; Reconciliation (the first five Internal Operations screens -- together these complete all five of PRD Section 6's Must-Haves for the real job sources that exist, confirmed mechanisation requests and harvest pickups). RBAC (7 roles), audit logging, and Finance/Super Admin segregation are foundational. The vendor date-conflict override is a real two-party workflow -- a vendor cannot approve its own override; only Super Admin can, via a separate audited endpoint. Real-time OTP verification via phone and email, at registration and login for all seven roles, was added 5 September 2026 (PRD Section 12) -- delivery is SIMULATED pending a chosen SMS/email provider, same treatment as mobile money. A full responsive QA pass (SDD Sections 17-19) confirmed every flow renders correctly at desktop/tablet/phone with no horizontal page overflow and no interactive element under the 44px touch-target minimum (Section 5 above) -- it found and fixed a systemic missing-viewport-meta-tag bug, several sub-44px controls, and (on a 6 September re-test) a two-column layout that didn't collapse at narrow widths. See Farm_Master_SDD_Stage6.docx and Farm_Master_API_Documentation_Stage6.docx. Remaining: real input ordering (Farmer Order Inputs, Vendor Product Catalogue -- the literal scope of PRD Must-Have #3), and the rest of Internal Operations (Reporting, MoFA Data Exchange). The trading margin rate used by Finance &amp; Reconciliation is BUSINESS-UNCONFIRMED, same treatment as the other provisional rates -- see SDD Section 18.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