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All four portals are visually designed under one confirmed system, and all three highest-stakes flows named in the workflow guide are now built and tested in Stage 5 Interactive Prototype/: buyer_commitment_fee_flow.html (form validation, live fee calculation, payment method selection, processing state, order activation), farmer_opportunity_formula_flow.html (opportunity selection carries real data through every screen, all-4-checkboxes acceptance validation, formula quantities calculated from accepted tonnage), and vendor_mechanisation_request_flow.html (request selection carries through, Confirm requires a service date while Decline does not — two independently validated actions on one screen — and the fulfilment queue reflects the real per-request outcome afterward). All three await Emmanuel's review. Next: Stage 6 (Build) once these are signed off.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