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TWELFTH PASS — all three portal flows, the Matching Queue, the Production Formula Builder, Logistics Dispatch, Harvest Pickup + Fulfilment Intake, Order Reconciliation, Order Inputs + Vendor Product Catalogue, and the MoFA Compliance Report (Internal Operations) real and tested on PostgreSQL, plus real-time OTP verification (phone + email, PRD Section 12) across registration and login for all seven roles. All five of PRD Section 6’s Must-Haves are complete (Sections 15-16, 18, 20). This pass also fixed a real correctness bug flagged, not fixed, at the end of the previous pass: Order Reconciliation’s vendor payout silently excluded confirmed InputOrders (Section 22). A full responsive QA pass, extended four times now (Sections 17, 19, 21, 23), found and fixed a systemic missing-viewport-meta-tag bug, several sub-44px tap targets, a non-collapsing two-column layout, a JS syntax bug caught before testing, stale UI copy, and a real navigation dead-end, across every frontend flow. The rest of Internal Operations (the Reporting dashboard, MoFA’s import half) is not yet built.</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7 values), status, password_hash, organisation_name</w:t>
            </w:r>
          </w:p>
        </w:tc>
        <w:tc>
          <w:tcPr>
            <w:tcW w:type="dxa" w:w="4176"/>
          </w:tcPr>
          <w:p>
            <w:r>
              <w:t>One row per person/organisation across all seven roles.</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 Also built since: Order Reconciliation (Section 18), completing PRD Section 6 Must-Have #5 -- the last of the pilot's five must-haves. Also built since: Order Inputs + Vendor Product Catalogue (Section 20), completing PRD Section 6 Must-Have #3's literal scope -- all five must-haves are now genuinely built, not just their available job sources. Also built since: the MoFA Compliance Report (Section 22) and the fix to Order Reconciliation's vendor payout (Section 22) that had been flagged, not fixed, at the end of the previous pass.</w:t>
      </w:r>
    </w:p>
    <w:p>
      <w:pPr>
        <w:pStyle w:val="ListBullet"/>
      </w:pPr>
      <w:r>
        <w:t>Not yet built: the Reporting screen's own revenue-stream/pilot-metrics dashboard (Section 22 built the MoFA Compliance Report, a distinct concern -- most of Reporting's own revenue streams are themselves deferred to Phase 2+, PRD Section 7); the MoFA import half (a static “no live API yet” stub even in the Stage 3 wireframe -- no real MoFA import API exists to call); the User &amp; Role Admin screen's account-creation UI for internal staff (role change, registration approval already exist in routers/admin.py, and self-registration now exists for Farmer/Buyer/Vendor -- Section 14); and any real mobile money or OTP gateway integration (both still TBD, PRD Section 1.1/12).</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p>
      <w:pPr>
        <w:pStyle w:val="Heading1"/>
      </w:pPr>
      <w:r>
        <w:t>18. Order Reconciliation — Completing PRD Must-Have #5 (All Five Must-Haves Done)</w:t>
      </w:r>
    </w:p>
    <w:p>
      <w:r>
        <w:t>PRD Section 6 Must-Have #5, the last of the pilot’s five must-haves: “Order reconciliation (commitment fee, trading margin, farmer settlement, vendor payout).” Flagged to Emmanuel before building, and confirmed 6 September 2026: unlike the buyer commitment fee (PRD Section 10, GHS 90/tonne) and vendor service fee (GHS 60/tonne), no rate or formula for a farmer’s settlement price or Farm Master’s trading margin exists anywhere in the PRD or Business Concept doc -- only the qualitative statement that margin is “applied between farmer settlement price and buyer invoice price.” Modelled as a new trading_margin_pct RateConfig row (provisionally 15%, BUSINESS-UNCONFIRMED, same PROVISIONAL treatment as every other rate in Section 10) applied to buyer invoice value on delivered, graded, non-REJECT tonnage -- farmer settlement due is the remainder. Confirmed separately: HarvestPickupRequest and MechanisationRequest are now optionally linked to a BuyerRequirement (buyer_requirement_id, both nullable), so settlement and payout are computed from real delivered/graded tonnage and real confirmed vendor requests for that specific order, not an estimate off the order’s own committed quantity_tonnes -- the alternative (estimate off the order only, no new links) was explicitly declined in favour of this, more work but real numbers.</w:t>
      </w:r>
    </w:p>
    <w:p>
      <w:r>
        <w:t>app/reconciliation.py is the single computation call site (GET /finance/reconciliation and its /{id} detail both use it) -- same “integrate, don’t duplicate” pattern as formula.py and dispatch.py. Figures are computed on read, not stored, so a RateConfig change is reflected immediately (same precedent as RequirementFormulaPlan’s input schedule, Section 8/13). Only the two release actions (farmer settlement, vendor payout) are real persisted state -- OrderReconciliation, created lazily on first read. Both releases are Role.FINANCE-gated, audited (farmer_settlement_released, vendor_payout_released -- PRD Section 5’s financial-action scope), and 409 both on a second release and on a release with nothing real behind it (zero graded non-reject tonnage; zero CONFIRMED vendor requests) -- reconciliation should never record money moving that has no real source.</w:t>
      </w:r>
    </w:p>
    <w:p>
      <w:r>
        <w:t>HarvestPickupRequest’s new order link required a real validation, not just a column: POST /farmer/harvest-pickup now checks the caller actually ACCEPTED that order (an Opportunity with accepted_by = caller and that buyer_requirement_id), not merely that the Matching Queue assigned it to them -- a farmer can’t claim a delivery against an order they never accepted. GET /farmer/harvest-pickup/my-orders lists the caller’s own eligible (accepted, order-backed) opportunities for the frontend’s new order-selection dropdown. This also meant the seed data for Order Reconciliation had to mark Kojo Mensah’s Formula Builder opportunity (Section 8, assigned but never accepted) as genuinely accepted first -- linking a pickup to an order in a state the live API would itself reject would have been seed data lying about what a real farmer could do.</w:t>
      </w:r>
    </w:p>
    <w:p>
      <w:r>
        <w:t>Verified by test: all four figures computed correctly against real seeded data (commitment fee GHS 450 from a real CommitmentFeePayment row added to the existing Formula Builder seed requirement; 1.95t accepted delivered from a real graded, non-REJECT FulfilmentIntake; GHS 90 vendor payout from a real CONFIRMED MechanisationRequest linked to the same order; GHS 643.50 trading margin at the provisional 15%); both releases succeed once and 409 on a second attempt; both 409 on an order with nothing real to release; vendor and farmer tokens 403 on every route; a farmer claiming an order they never accepted gets a real 422, not a silent success. Also clicked through the full flow in /reconciliation-flow (Finance) and the new order dropdown in /harvest-pickup-flow (Farmer).</w:t>
      </w:r>
    </w:p>
    <w:p>
      <w:pPr>
        <w:pStyle w:val="Heading1"/>
      </w:pPr>
      <w:r>
        <w:t>19. Responsive QA Pass, Extended — One More Fix Found on Re-Test</w:t>
      </w:r>
    </w:p>
    <w:p>
      <w:r>
        <w:t>Re-testing Harvest Pickup (Section 17) after adding this pass’s new order-selection dropdown to its Request Pickup step surfaced a defect Section 17’s original audit had not caught: that step’s two-column layout used a raw inline grid-template-columns style with no responsive collapse rule of its own, unlike every other two-column layout in this codebase, which uses the shared .grid.g2 class (collapsing to one column under a 767px container width via an @container query). Measured via getBoundingClientRect() at a real 375px viewport: each column rendered under 175px wide -- readable, and not a horizontal-overflow or sub-44px-tap-target violation (the two checks Section 17’s audit specifically ran), but real form fields and labels squeezed into roughly half the width the shared pattern gives every other two-column screen at that size. Fixed by adding the shared .grid/.g2/@container rules (previously absent from this file entirely) and switching the markup to use them. Confirms Section 17’s standing rule extends to a re-touched existing screen, not only a newly built one: this fix was found only because the Harvest Pickup screen was re-tested as part of today’s change to it, not assumed still-passing from 5 September.</w:t>
      </w:r>
    </w:p>
    <w:p>
      <w:pPr>
        <w:pStyle w:val="Heading1"/>
      </w:pPr>
      <w:r>
        <w:t>20. Order Inputs + Vendor Product Catalogue — Completing PRD Must-Have #3’s Literal Scope</w:t>
      </w:r>
    </w:p>
    <w:p>
      <w:r>
        <w:t>PRD Section 6 Must-Have #3: “Vendor input ordering routed to logistics dispatch.” Section 15 completed this for the one real job source that existed at the time (a CONFIRMED MechanisationRequest) but explicitly flagged the literal scope -- a Farmer buying seed/fertiliser from a Vendor’s Product Catalogue -- as unbuilt. This pass builds that literal scope directly: models.Product (a vendor’s catalogue, matching the Stage 3 wireframe’s own five example items exactly) and models.InputOrder/InputOrderLine (a Farmer’s order against one vendor’s catalogue). DispatchJob gained a third optional source FK (input_order_id), alongside mechanisation_request_id and harvest_pickup_request_id -- still exactly one set, application-enforced, per the existing convention (Section 15/16).</w:t>
      </w:r>
    </w:p>
    <w:p>
      <w:r>
        <w:t>FormulaInputType (seed | npk | topdress | other) tags a Product so the Farmer Order Inputs screen can pre-fill quantities from the farmer’s own ProductionFormula (seed_kg, npk_bags, topdress_bags) without fragile name/category string matching -- an explicit mapping, same style as RateConfig’s explicit keys. Placing an order decrements Product.stock_qty immediately as a real reservation (not just a display number); the Vendor then CONFIRMS it (creating the real DispatchJob, same treatment as MechanisationRequest’s own confirm) or DECLINES it (restoring the stock). Scoped to a single vendor per order -- every line must belong to the same vendor_id -- mirroring MechanisationRequest’s own single-vendor scoping; with one seeded vendor this isn’t felt yet, but a multi-vendor cart is not supported.</w:t>
      </w:r>
    </w:p>
    <w:p>
      <w:r>
        <w:t>Confirm/decline are not audited, same treatment as MechanisationRequest confirm/decline and dispatch/deliver (PRD Section 5’s audit scope is role/permission changes and financial actions -- these are operational fulfilment actions). Input order costs are real and computed (InputOrderLine.unit_price is a snapshot at order time, same rationale as CommitmentFeePayment.amount) but nothing collects or deducts them yet -- the Stage 3 wireframe shows them as a deduction on the Farmer Wallet &amp; Settlement Statement, not built, rather than an upfront charge like the buyer commitment fee. Order Reconciliation’s vendor payout (Section 18) still only reads confirmed MechanisationRequest rows -- wiring a confirmed InputOrder’s cost into that computation is separate future work, deliberately not done in this pass to avoid re-touching already-tested reconciliation logic beyond its own scope.</w:t>
      </w:r>
    </w:p>
    <w:p>
      <w:r>
        <w:t>Verified by test: every line in an order must belong to the requirement’s own vendor_id (422 otherwise); a quantity beyond real stock returns 409; stock is decremented on order and restored exactly on decline (verified before/after); confirm/decline both 409 on a non-PENDING order; vendor and farmer tokens each 403 on the other role’s routes; a confirmed order’s real DispatchJob appears on GET /logistics/jobs with a new input_order job_type and moves through dispatch and delivery identically to the other two job types. Also clicked through both new flows end to end in the browser -- /order-inputs-flow (Farmer, quantities correctly pre-filled from a real accepted opportunity’s formula) and /vendor-catalogue-flow (Vendor, adding a catalogue item and confirming an order).</w:t>
      </w:r>
    </w:p>
    <w:p>
      <w:pPr>
        <w:pStyle w:val="Heading1"/>
      </w:pPr>
      <w:r>
        <w:t>21. Responsive QA Pass, Extended a Third Time — Three More Findings</w:t>
      </w:r>
    </w:p>
    <w:p>
      <w:r>
        <w:t>Building and testing the two new flows this pass (Section 20) surfaced three more issues beyond layout/tap-target defects, all fixed before being reported as done, consistent with the standing rule (Section 17) that every new or re-touched screen is checked before being marked complete.</w:t>
      </w:r>
    </w:p>
    <w:p>
      <w:r>
        <w:t>First, a real JS syntax bug: Logistics Dispatch’s job-card renderer needed a third branch for the new input_order job type, and the initial edit had a mismatched quote (opened with a double quote, closed with a single one) that would have broken the whole script for every job type, not just the new one -- caught via a live quote-balance scan of the script text before ever loading it in the browser, the same class of bug (and the same detection method) as the one found and fixed in the new Finance &amp; Reconciliation flow during the previous pass (Section 19).</w:t>
      </w:r>
    </w:p>
    <w:p>
      <w:r>
        <w:t>Second, stale UI copy: Logistics Dispatch’s rail note and its inbound empty-state caption both still said harvest pickup and real input ordering had “no backend yet,” though both had shipped in earlier passes (Sections 16 and this one). Found only because this pass’s changes required re-reading that file’s existing text closely enough to notice it no longer matched reality.</w:t>
      </w:r>
    </w:p>
    <w:p>
      <w:r>
        <w:t>Third, a real navigation dead-end in the new Vendor Product Catalogue flow: Catalogue and Input Orders are parallel destinations a vendor revisits independently once signed in, not a linear step-by-step sequence like every other flow in this codebase -- but the shared rail-navigation pattern only makes an already-visited (“done”) step clickable, so there was no way to ever reach Input Orders from Catalogue on first login. Fixed by letting those two steps stay rail-clickable any time a session token exists, while leaving the row-driven Order Detail step locked, matching Fulfilment Intake’s own precedent for a step reached only by selecting a specific row.</w:t>
      </w:r>
    </w:p>
    <w:p>
      <w:r>
        <w:t>All twelve flows -- Registration, Buyer, Farmer, Vendor, Matching Queue, Production Formula Builder, Logistics Dispatch, Harvest Pickup, Fulfilment Intake, Finance &amp; Reconciliation, Order Inputs, and Vendor Product Catalogue -- now pass at 375px, 768px, and 1280px with zero horizontal page overflow and no interactive element under 44px.</w:t>
      </w:r>
    </w:p>
    <w:p>
      <w:pPr>
        <w:pStyle w:val="Heading1"/>
      </w:pPr>
      <w:r>
        <w:t>22. MoFA Compliance Report, and Fixing Order Reconciliation’s Vendor Payout Gap</w:t>
      </w:r>
    </w:p>
    <w:p>
      <w:r>
        <w:t>MoFA Compliance Report -- PRD Section 1.1/9, IA Section 1/6/7: “no MoFA data standard confirmed yet... design a generic exportable report (CSV/PDF) covering volume, quality grade, buyer, and delivery date; refine once an actual MoFA template is available.” Researched before building, not guessed: the PRD, Business Concept doc, IA, and the Stage 3 wireframe’s “MoFA Data Exchange” screen all repeat the same four fields identically, with zero elaboration on per-order vs. aggregated granularity, date-range filtering, or REJECT-row inclusion -- those were genuine open decisions, resolved here rather than left unstated. Scoped to the export half of that wireframe screen only: its other panel (importing verified institutional buyer/accreditation data from MoFA) is a static “no live API yet” stub even in the wireframe itself, so building a fake import against nothing real would be decorative. The separate “Reporting” screen (revenue-stream + pilot-metrics dashboard, IA Section 6) is a distinct concern, also not built -- most of its own revenue streams are themselves deferred to Phase 2+ (PRD Section 7).</w:t>
      </w:r>
    </w:p>
    <w:p>
      <w:r>
        <w:t>app/reporting.py is the single computation and export-rendering call site (JSON list, CSV, and PDF all read from the same get_compliance_rows()) -- same “integrate, don’t duplicate” pattern as reconciliation.py. Row scope: one row per graded FulfilmentIntake whose HarvestPickupRequest is linked to a real buyer order (buyer_requirement_id not null) -- a pickup with no buyer link has no buyer to report against. REJECT-graded rows ARE included, deliberately unlike reconciliation.py’s farmer-settlement math (which excludes REJECT for payment purposes): quality grade is itself one of the four confirmed columns, so excluding REJECT would mean the column never showed real quality outcomes. “Delivery date” uses DispatchJob.delivered_at -- produce arriving at Farm Master’s fulfilment centre, the only real timestamped delivery event connected to a graded, buyer-linked intake, since no model tracks a separate Farm-Master-to-buyer shipment event. Both exports (reportlab, added to requirements.txt) emit exactly the four confirmed columns in the confirmed order; the in-app view adds farmer name and crop for internal reference only, not exported.</w:t>
      </w:r>
    </w:p>
    <w:p>
      <w:r>
        <w:t>Separately, closing a gap flagged at the end of the previous pass rather than left as another “flagged but not fixed” note: Order Reconciliation’s vendor payout (Section 18) previously summed only confirmed MechanisationRequest rows, silently excluding any confirmed InputOrder’s real cost. InputOrder has no direct buyer-order link of its own, so the fix derives one transitively -- InputOrder.production_formula_id -&gt; ProductionFormula.opportunity_id -&gt; Opportunity.buyer_requirement_id -- and sums both real sources. An input order not tied to any formula still isn’t attributable to a specific buyer order, which is correct: it’s a general farm-input purchase, not one fulfilling a specific order. Unlike the mechanisation side’s placeholder per-acre rate, this uses InputOrder.total_cost directly, since it’s already a real, computed cost from real catalogue prices. Seed data was extended to demonstrate this concretely: Ama Serwaa’s opportunity for the seeded PRODUCTION requirement is now also marked accepted with a real ProductionFormula (same computation accept_opportunity uses live), and her existing demo InputOrder is linked to it -- the requirement’s vendor payout moved from GHS 90 (mechanisation only) to GHS 874 (mechanisation + input order) on a fresh seed.</w:t>
      </w:r>
    </w:p>
    <w:p>
      <w:r>
        <w:t>Verified by test: grading a delivery with no buyer link leaves the compliance report unchanged (2 rows before and after); grading a second real delivery REJECT correctly adds it; CSV and PDF exports both return real files (PDF header verified) with exactly the four confirmed columns; finance-only RBAC holds on all three routes. The vendor-payout fix was verified against the seeded requirement before and after (GHS 90 -&gt; GHS 874), and the release-vendor-payout endpoint still succeeds once and 409s on a second attempt against the corrected figure. Also clicked through the full flow in /mofa-report-flow end to end.</w:t>
      </w:r>
    </w:p>
    <w:p>
      <w:pPr>
        <w:pStyle w:val="Heading1"/>
      </w:pPr>
      <w:r>
        <w:t>23. Responsive QA Pass, Extended a Fourth Time — Clean on First Pass</w:t>
      </w:r>
    </w:p>
    <w:p>
      <w:r>
        <w:t>The MoFA Compliance Report screen (Section 22) is a purely linear three-step flow (sign in, verify OTP, report) with no parallel post-login destinations, unlike the prior pass’s Vendor Product Catalogue -- so the navigation-reachability check introduced after that finding (Section 21) did not surface anything here, and wasn’t expected to. Built with .grid.g2 from the start (not a raw grid, per the standing rule from Section 19/21) and a viewport meta tag from the start (per the standing rule from Section 17). Verified clean at 375px, 768px, and 1280px on first pass -- zero horizontal page overflow, no interactive element under 44px, no new issues found. All thirteen flows now pass at all three breakpoints.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