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thirteen real, tested flows in Stage 6 Build/: Buyer commitment-fee payment, Farmer opportunity-acceptance + formula, Vendor mechanisation request, the Matching Queue, the Production Formula Builder, Logistics Dispatch, Harvest Pickup Request, Fulfilment Centre Intake &amp; Grading, Finance &amp; Reconciliation, Order Inputs + Vendor Product Catalogue, and the MoFA Compliance Report (the seven Internal Operations/Vendor screens completing PRD Section 6's Must-Haves -- all five are genuinely built, including Must-Have #3's literal scope, not just the job sources that happened to exist earlier).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A full responsive QA pass (SDD Sections 17-23) confirmed every flow renders correctly at desktop/tablet/phone with no horizontal page overflow and no interactive element under the 44px touch-target minimum (Section 5 above) -- across four extensions it found and fixed a systemic missing-viewport-meta-tag bug, several sub-44px controls, a two-column layout that didn't collapse at narrow widths, a JS syntax bug caught before testing, stale UI copy, and a real navigation dead-end; the MoFA Compliance Report build introduced no new issues. See Farm_Master_SDD_Stage6.docx and Farm_Master_API_Documentation_Stage6.docx. Fixed 7 September 2026, flagged rather than left unresolved at the end of the previous pass: Order Reconciliation's vendor payout now correctly includes a confirmed InputOrder's real cost, not just confirmed MechanisationRequest rows. Remaining: the Reporting screen's own revenue-stream/pilot-metrics dashboard (a distinct concern from the MoFA compliance export), and the MoFA import half (a static stub even in the Stage 3 wireframe). The trading margin rate used by Finance &amp; Reconciliation is BUSINESS-UNCONFIRMED, same treatment as the other provisional rates -- see SDD Section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