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EIGHTH PASS — all three portal flows, the Matching Queue, the Production Formula Builder, and Logistics Dispatch (Internal Operations) real and tested on PostgreSQL, plus real-time OTP verification (phone + email, PRD Section 12) across registration and login for all seven roles. This completes PRD Section 6 Must-Have #3 (“Vendor input ordering routed to logistics dispatch”) for the one real job source that exists -- confirmed mechanisation requests -- see Section 15. The rest of Internal Operations (Fulfilment Intake, Finance &amp; Reconciliation, Reporting, MoFA Data Exchange) is not yet built.</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7 values), status, password_hash, organisation_name</w:t>
            </w:r>
          </w:p>
        </w:tc>
        <w:tc>
          <w:tcPr>
            <w:tcW w:type="dxa" w:w="4176"/>
          </w:tcPr>
          <w:p>
            <w:r>
              <w:t>One row per person/organisation across all seven roles.</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w:t>
      </w:r>
    </w:p>
    <w:p>
      <w:pPr>
        <w:pStyle w:val="ListBullet"/>
      </w:pPr>
      <w:r>
        <w:t>Not yet built: the remaining Internal Operations screens' backends (Fulfilment Intake, Finance &amp; Reconciliation, Reporting, MoFA Data Exchange); real input ordering (Farmer Order Inputs, Vendor Product Catalogue -- PRD Section 6 Must-Have #3's literal scope, as distinct from the mechanisation-request dispatch that is built, Section 15); the User &amp; Role Admin screen's account-creation UI for internal staff (role change, registration approval already exist in routers/admin.py, and self-registration now exists for Farmer/Buyer/Vendor -- Section 14); and any real mobile money or OTP gateway integration (both still TBD, PRD Section 1.1/12).</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