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six real, tested flows in Stage 6 Build/: Buyer commitment-fee payment, Farmer opportunity-acceptance + formula, Vendor mechanisation request, the Matching Queue, the Production Formula Builder, and Logistics Dispatch (the first three Internal Operations screens -- Logistics Dispatch completes PRD Section 6 Must-Have #3 for the one real job source that exists, a confirmed mechanisation request).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See Farm_Master_SDD_Stage6.docx and Farm_Master_API_Documentation_Stage6.docx. Remaining: real input ordering (Farmer Order Inputs, Vendor Product Catalogue), and the rest of Internal Operations (Fulfilment Intake, Finance &amp; Reconciliation, Reporting, MoFA Data Exchange).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