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POST /auth/login — body {email, password} — returns {access_token, token_type: "bearer", role, full_name}.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</w:tbl>
    <w:p>
      <w:pPr>
        <w:pStyle w:val="Heading1"/>
      </w:pPr>
      <w:r>
        <w:t>4.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</w:tbl>
    <w:p>
      <w:pPr>
        <w:pStyle w:val="Heading1"/>
      </w:pPr>
      <w:r>
        <w:t>5.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6. Not Yet Built</w:t>
      </w:r>
    </w:p>
    <w:p>
      <w:r>
        <w:rPr>
          <w:b w:val="0"/>
          <w:i w:val="0"/>
        </w:rPr>
        <w:t>Vendor endpoints, the remaining Internal Operations screens' endpoints (Matching Queue, Formula Builder, Logistics Dispatch, Fulfilment Intake, Finance &amp; Reconciliation, Reporting, MoFA Data Exchange), the vendor date-conflict override endpoint, and any real mobile money/USSD/MoFA gateway integration. See Farm_Master_SDD_Stage6.docx Section 8 for the full built/not-built breakdown.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