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3A2A"/>
          <w:sz w:val="44"/>
          <w:szCs w:val="44"/>
        </w:rPr>
        <w:t xml:space="preserve">FARM MASTER</w:t>
      </w:r>
    </w:p>
    <w:p>
      <w:pPr>
        <w:spacing w:after="40"/>
      </w:pPr>
      <w:r>
        <w:rPr>
          <w:b/>
          <w:bCs/>
          <w:color w:val="2F6B3A"/>
          <w:sz w:val="26"/>
          <w:szCs w:val="26"/>
        </w:rPr>
        <w:t xml:space="preserve">PRODUCT REQUIREMENTS DOCUMENT</w:t>
      </w:r>
    </w:p>
    <w:p>
      <w:pPr>
        <w:spacing w:after="200"/>
      </w:pPr>
      <w:r>
        <w:rPr>
          <w:i/>
          <w:iCs/>
          <w:color w:val="5A5A5A"/>
          <w:sz w:val="22"/>
          <w:szCs w:val="22"/>
        </w:rPr>
        <w:t xml:space="preserve">Stage 1 — Discovery &amp; Scope</w:t>
      </w:r>
    </w:p>
    <w:p>
      <w:pPr>
        <w:spacing w:after="40"/>
      </w:pPr>
      <w:r>
        <w:rPr>
          <w:sz w:val="20"/>
          <w:szCs w:val="20"/>
        </w:rPr>
        <w:t xml:space="preserve">Prepared for: Farm Master Ghana Limited (Tema, Greater Accra Region)</w:t>
      </w:r>
    </w:p>
    <w:p>
      <w:pPr>
        <w:spacing w:after="40"/>
      </w:pPr>
      <w:r>
        <w:rPr>
          <w:sz w:val="20"/>
          <w:szCs w:val="20"/>
        </w:rPr>
        <w:t xml:space="preserve">Prepared by: Claude, per the Farm Master Web App Project Workflow &amp; Documentation Guide</w:t>
      </w:r>
    </w:p>
    <w:p>
      <w:pPr>
        <w:spacing w:after="40"/>
      </w:pPr>
      <w:r>
        <w:rPr>
          <w:sz w:val="20"/>
          <w:szCs w:val="20"/>
        </w:rPr>
        <w:t xml:space="preserve">Date: 2 September 2026 (Rev. 2 — pilot parameters confirmed)</w:t>
      </w:r>
    </w:p>
    <w:p>
      <w:pPr>
        <w:spacing w:after="260"/>
      </w:pPr>
      <w:r>
        <w:rPr>
          <w:b/>
          <w:bCs/>
          <w:color w:val="2F6B3A"/>
          <w:sz w:val="20"/>
          <w:szCs w:val="20"/>
        </w:rPr>
        <w:t xml:space="preserve">Status: CONFIRMED — pilot parameters locked with Emmanuel; proceeding to Stage 2</w:t>
      </w:r>
    </w:p>
    <w:p>
      <w:pPr>
        <w:pBdr>
          <w:bottom w:val="single" w:color="CCCCCC" w:sz="6" w:space="1"/>
        </w:pBdr>
        <w:spacing w:after="200"/>
      </w:pPr>
    </w:p>
    <w:p>
      <w:pPr>
        <w:pStyle w:val="Heading1"/>
        <w:spacing w:after="160" w:before="320"/>
      </w:pPr>
      <w:r>
        <w:t xml:space="preserve">1. Purpose of This Document</w:t>
      </w:r>
    </w:p>
    <w:p>
      <w:pPr>
        <w:spacing w:after="160"/>
      </w:pPr>
      <w:r>
        <w:t xml:space="preserve">This PRD is the Stage 1 deliverable of the Farm Master project workflow. It converts the Business Concept Document into a scoped, buildable reference point: the problem being solved, the users being solved for, the goals of each portal, the features that make up the Phase 1 pilot, and what is explicitly deferred. Every later stage — information architecture, wireframes, visual design, and the interactive prototype — is checked against this document, so it is worth getting the scope right here before moving on.</w:t>
      </w:r>
    </w:p>
    <w:p>
      <w:pPr>
        <w:pStyle w:val="Heading2"/>
        <w:spacing w:after="120" w:before="240"/>
      </w:pPr>
      <w:r>
        <w:t xml:space="preserve">1.1 Confirmed Pilot Parameters</w:t>
      </w:r>
    </w:p>
    <w:p>
      <w:pPr>
        <w:spacing w:after="160"/>
      </w:pPr>
      <w:r>
        <w:t xml:space="preserve">Locked in by Emmanuel on 2 September 2026, resolving the open questions raised in the original draft of this section (see Section 9 for the full record):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3A2A" w:color="auto" w:val="clear"/>
            <w:tcMar>
              <w:top w:type="dxa" w:w="80"/>
              <w:left w:type="dxa" w:w="100"/>
              <w:bottom w:type="dxa" w:w="80"/>
              <w:right w:type="dxa" w:w="100"/>
            </w:tcMar>
          </w:tcPr>
          <w:p>
            <w:r>
              <w:rPr>
                <w:b/>
                <w:bCs/>
                <w:color w:val="FFFFFF"/>
                <w:sz w:val="20"/>
                <w:szCs w:val="20"/>
              </w:rPr>
              <w:t xml:space="preserve">Parameter</w:t>
            </w:r>
          </w:p>
        </w:tc>
        <w:tc>
          <w:tcPr>
            <w:tcW w:type="dxa" w:w="6800"/>
            <w:shd w:fill="1B3A2A" w:color="auto" w:val="clear"/>
            <w:tcMar>
              <w:top w:type="dxa" w:w="80"/>
              <w:left w:type="dxa" w:w="100"/>
              <w:bottom w:type="dxa" w:w="80"/>
              <w:right w:type="dxa" w:w="100"/>
            </w:tcMar>
          </w:tcPr>
          <w:p>
            <w:r>
              <w:rPr>
                <w:b/>
                <w:bCs/>
                <w:color w:val="FFFFFF"/>
                <w:sz w:val="20"/>
                <w:szCs w:val="20"/>
              </w:rPr>
              <w:t xml:space="preserve">Confirmed Value</w:t>
            </w:r>
          </w:p>
        </w:tc>
      </w:tr>
      <w:tr>
        <w:tc>
          <w:tcPr>
            <w:tcW w:type="dxa" w:w="2600"/>
            <w:tcMar>
              <w:top w:type="dxa" w:w="80"/>
              <w:left w:type="dxa" w:w="100"/>
              <w:bottom w:type="dxa" w:w="80"/>
              <w:right w:type="dxa" w:w="100"/>
            </w:tcMar>
          </w:tcPr>
          <w:p>
            <w:r>
              <w:rPr>
                <w:b w:val="false"/>
                <w:bCs w:val="false"/>
                <w:sz w:val="20"/>
                <w:szCs w:val="20"/>
              </w:rPr>
              <w:t xml:space="preserve">Pilot region</w:t>
            </w:r>
          </w:p>
        </w:tc>
        <w:tc>
          <w:tcPr>
            <w:tcW w:type="dxa" w:w="6800"/>
            <w:tcMar>
              <w:top w:type="dxa" w:w="80"/>
              <w:left w:type="dxa" w:w="100"/>
              <w:bottom w:type="dxa" w:w="80"/>
              <w:right w:type="dxa" w:w="100"/>
            </w:tcMar>
          </w:tcPr>
          <w:p>
            <w:r>
              <w:rPr>
                <w:b w:val="false"/>
                <w:bCs w:val="false"/>
                <w:sz w:val="20"/>
                <w:szCs w:val="20"/>
              </w:rPr>
              <w:t xml:space="preserve">Tema, Greater Accra Region — starting in-region minimises logistics complexity for the first fulfilment centre.</w:t>
            </w:r>
          </w:p>
        </w:tc>
      </w:tr>
      <w:tr>
        <w:tc>
          <w:tcPr>
            <w:tcW w:type="dxa" w:w="2600"/>
            <w:shd w:fill="EAF3EA" w:color="auto" w:val="clear"/>
            <w:tcMar>
              <w:top w:type="dxa" w:w="80"/>
              <w:left w:type="dxa" w:w="100"/>
              <w:bottom w:type="dxa" w:w="80"/>
              <w:right w:type="dxa" w:w="100"/>
            </w:tcMar>
          </w:tcPr>
          <w:p>
            <w:r>
              <w:rPr>
                <w:b w:val="false"/>
                <w:bCs w:val="false"/>
                <w:sz w:val="20"/>
                <w:szCs w:val="20"/>
              </w:rPr>
              <w:t xml:space="preserve">Pilot crop</w:t>
            </w:r>
          </w:p>
        </w:tc>
        <w:tc>
          <w:tcPr>
            <w:tcW w:type="dxa" w:w="6800"/>
            <w:shd w:fill="EAF3EA" w:color="auto" w:val="clear"/>
            <w:tcMar>
              <w:top w:type="dxa" w:w="80"/>
              <w:left w:type="dxa" w:w="100"/>
              <w:bottom w:type="dxa" w:w="80"/>
              <w:right w:type="dxa" w:w="100"/>
            </w:tcMar>
          </w:tcPr>
          <w:p>
            <w:r>
              <w:rPr>
                <w:b w:val="false"/>
                <w:bCs w:val="false"/>
                <w:sz w:val="20"/>
                <w:szCs w:val="20"/>
              </w:rPr>
              <w:t xml:space="preserve">Maize — single crop for the pilot, to keep the first production formula and grading standard simple.</w:t>
            </w:r>
          </w:p>
        </w:tc>
      </w:tr>
      <w:tr>
        <w:tc>
          <w:tcPr>
            <w:tcW w:type="dxa" w:w="2600"/>
            <w:tcMar>
              <w:top w:type="dxa" w:w="80"/>
              <w:left w:type="dxa" w:w="100"/>
              <w:bottom w:type="dxa" w:w="80"/>
              <w:right w:type="dxa" w:w="100"/>
            </w:tcMar>
          </w:tcPr>
          <w:p>
            <w:r>
              <w:rPr>
                <w:b w:val="false"/>
                <w:bCs w:val="false"/>
                <w:sz w:val="20"/>
                <w:szCs w:val="20"/>
              </w:rPr>
              <w:t xml:space="preserve">Pilot buyer mix</w:t>
            </w:r>
          </w:p>
        </w:tc>
        <w:tc>
          <w:tcPr>
            <w:tcW w:type="dxa" w:w="6800"/>
            <w:tcMar>
              <w:top w:type="dxa" w:w="80"/>
              <w:left w:type="dxa" w:w="100"/>
              <w:bottom w:type="dxa" w:w="80"/>
              <w:right w:type="dxa" w:w="100"/>
            </w:tcMar>
          </w:tcPr>
          <w:p>
            <w:r>
              <w:rPr>
                <w:b w:val="false"/>
                <w:bCs w:val="false"/>
                <w:sz w:val="20"/>
                <w:szCs w:val="20"/>
              </w:rPr>
              <w:t xml:space="preserve">No anchor relationships locked in yet. Platform is designed to onboard 2–3 anchor buyers cold, including one MoFA-linked buyer.</w:t>
            </w:r>
          </w:p>
        </w:tc>
      </w:tr>
      <w:tr>
        <w:tc>
          <w:tcPr>
            <w:tcW w:type="dxa" w:w="2600"/>
            <w:shd w:fill="EAF3EA" w:color="auto" w:val="clear"/>
            <w:tcMar>
              <w:top w:type="dxa" w:w="80"/>
              <w:left w:type="dxa" w:w="100"/>
              <w:bottom w:type="dxa" w:w="80"/>
              <w:right w:type="dxa" w:w="100"/>
            </w:tcMar>
          </w:tcPr>
          <w:p>
            <w:r>
              <w:rPr>
                <w:b w:val="false"/>
                <w:bCs w:val="false"/>
                <w:sz w:val="20"/>
                <w:szCs w:val="20"/>
              </w:rPr>
              <w:t xml:space="preserve">Farmer / farmer-union model</w:t>
            </w:r>
          </w:p>
        </w:tc>
        <w:tc>
          <w:tcPr>
            <w:tcW w:type="dxa" w:w="6800"/>
            <w:shd w:fill="EAF3EA" w:color="auto" w:val="clear"/>
            <w:tcMar>
              <w:top w:type="dxa" w:w="80"/>
              <w:left w:type="dxa" w:w="100"/>
              <w:bottom w:type="dxa" w:w="80"/>
              <w:right w:type="dxa" w:w="100"/>
            </w:tcMar>
          </w:tcPr>
          <w:p>
            <w:r>
              <w:rPr>
                <w:b w:val="false"/>
                <w:bCs w:val="false"/>
                <w:sz w:val="20"/>
                <w:szCs w:val="20"/>
              </w:rPr>
              <w:t xml:space="preserve">Pilot treats every registrant as an individual farmer profile. Union-level management (a rep overseeing multiple members) is deferred to Phase 2.</w:t>
            </w:r>
          </w:p>
        </w:tc>
      </w:tr>
      <w:tr>
        <w:tc>
          <w:tcPr>
            <w:tcW w:type="dxa" w:w="2600"/>
            <w:tcMar>
              <w:top w:type="dxa" w:w="80"/>
              <w:left w:type="dxa" w:w="100"/>
              <w:bottom w:type="dxa" w:w="80"/>
              <w:right w:type="dxa" w:w="100"/>
            </w:tcMar>
          </w:tcPr>
          <w:p>
            <w:r>
              <w:rPr>
                <w:b w:val="false"/>
                <w:bCs w:val="false"/>
                <w:sz w:val="20"/>
                <w:szCs w:val="20"/>
              </w:rPr>
              <w:t xml:space="preserve">Vendor mix</w:t>
            </w:r>
          </w:p>
        </w:tc>
        <w:tc>
          <w:tcPr>
            <w:tcW w:type="dxa" w:w="6800"/>
            <w:tcMar>
              <w:top w:type="dxa" w:w="80"/>
              <w:left w:type="dxa" w:w="100"/>
              <w:bottom w:type="dxa" w:w="80"/>
              <w:right w:type="dxa" w:w="100"/>
            </w:tcMar>
          </w:tcPr>
          <w:p>
            <w:r>
              <w:rPr>
                <w:b w:val="false"/>
                <w:bCs w:val="false"/>
                <w:sz w:val="20"/>
                <w:szCs w:val="20"/>
              </w:rPr>
              <w:t xml:space="preserve">Both from day one — at least one Farm Master-owned shop plus a small number of third-party vendors.</w:t>
            </w:r>
          </w:p>
        </w:tc>
      </w:tr>
      <w:tr>
        <w:tc>
          <w:tcPr>
            <w:tcW w:type="dxa" w:w="2600"/>
            <w:shd w:fill="EAF3EA" w:color="auto" w:val="clear"/>
            <w:tcMar>
              <w:top w:type="dxa" w:w="80"/>
              <w:left w:type="dxa" w:w="100"/>
              <w:bottom w:type="dxa" w:w="80"/>
              <w:right w:type="dxa" w:w="100"/>
            </w:tcMar>
          </w:tcPr>
          <w:p>
            <w:r>
              <w:rPr>
                <w:b w:val="false"/>
                <w:bCs w:val="false"/>
                <w:sz w:val="20"/>
                <w:szCs w:val="20"/>
              </w:rPr>
              <w:t xml:space="preserve">Payment gateway</w:t>
            </w:r>
          </w:p>
        </w:tc>
        <w:tc>
          <w:tcPr>
            <w:tcW w:type="dxa" w:w="6800"/>
            <w:shd w:fill="EAF3EA" w:color="auto" w:val="clear"/>
            <w:tcMar>
              <w:top w:type="dxa" w:w="80"/>
              <w:left w:type="dxa" w:w="100"/>
              <w:bottom w:type="dxa" w:w="80"/>
              <w:right w:type="dxa" w:w="100"/>
            </w:tcMar>
          </w:tcPr>
          <w:p>
            <w:r>
              <w:rPr>
                <w:b w:val="false"/>
                <w:bCs w:val="false"/>
                <w:sz w:val="20"/>
                <w:szCs w:val="20"/>
              </w:rPr>
              <w:t xml:space="preserve">Not locked in — open technical decision for the SDD stage. Shortlisted candidates: Paystack and Hubtel (both support MoMo + card in Ghana).</w:t>
            </w:r>
          </w:p>
        </w:tc>
      </w:tr>
      <w:tr>
        <w:tc>
          <w:tcPr>
            <w:tcW w:type="dxa" w:w="2600"/>
            <w:tcMar>
              <w:top w:type="dxa" w:w="80"/>
              <w:left w:type="dxa" w:w="100"/>
              <w:bottom w:type="dxa" w:w="80"/>
              <w:right w:type="dxa" w:w="100"/>
            </w:tcMar>
          </w:tcPr>
          <w:p>
            <w:r>
              <w:rPr>
                <w:b w:val="false"/>
                <w:bCs w:val="false"/>
                <w:sz w:val="20"/>
                <w:szCs w:val="20"/>
              </w:rPr>
              <w:t xml:space="preserve">MoFA reporting</w:t>
            </w:r>
          </w:p>
        </w:tc>
        <w:tc>
          <w:tcPr>
            <w:tcW w:type="dxa" w:w="6800"/>
            <w:tcMar>
              <w:top w:type="dxa" w:w="80"/>
              <w:left w:type="dxa" w:w="100"/>
              <w:bottom w:type="dxa" w:w="80"/>
              <w:right w:type="dxa" w:w="100"/>
            </w:tcMar>
          </w:tcPr>
          <w:p>
            <w:r>
              <w:rPr>
                <w:b w:val="false"/>
                <w:bCs w:val="false"/>
                <w:sz w:val="20"/>
                <w:szCs w:val="20"/>
              </w:rPr>
              <w:t xml:space="preserve">No MoFA data standard confirmed yet. Design a generic exportable report (CSV/PDF) covering volume, quality grade, buyer, and delivery date; refine once an actual MoFA template is available.</w:t>
            </w:r>
          </w:p>
        </w:tc>
      </w:tr>
      <w:tr>
        <w:tc>
          <w:tcPr>
            <w:tcW w:type="dxa" w:w="2600"/>
            <w:shd w:fill="EAF3EA" w:color="auto" w:val="clear"/>
            <w:tcMar>
              <w:top w:type="dxa" w:w="80"/>
              <w:left w:type="dxa" w:w="100"/>
              <w:bottom w:type="dxa" w:w="80"/>
              <w:right w:type="dxa" w:w="100"/>
            </w:tcMar>
          </w:tcPr>
          <w:p>
            <w:r>
              <w:rPr>
                <w:b w:val="false"/>
                <w:bCs w:val="false"/>
                <w:sz w:val="20"/>
                <w:szCs w:val="20"/>
              </w:rPr>
              <w:t xml:space="preserve">Logistics fleet (pilot)</w:t>
            </w:r>
          </w:p>
        </w:tc>
        <w:tc>
          <w:tcPr>
            <w:tcW w:type="dxa" w:w="6800"/>
            <w:shd w:fill="EAF3EA" w:color="auto" w:val="clear"/>
            <w:tcMar>
              <w:top w:type="dxa" w:w="80"/>
              <w:left w:type="dxa" w:w="100"/>
              <w:bottom w:type="dxa" w:w="80"/>
              <w:right w:type="dxa" w:w="100"/>
            </w:tcMar>
          </w:tcPr>
          <w:p>
            <w:r>
              <w:rPr>
                <w:b w:val="false"/>
                <w:bCs w:val="false"/>
                <w:sz w:val="20"/>
                <w:szCs w:val="20"/>
              </w:rPr>
              <w:t xml:space="preserve">Placeholder of 3–5 tricycles for the pilot region — Emmanuel will confirm the exact number before Stage 3 wireframes.</w:t>
            </w:r>
          </w:p>
        </w:tc>
      </w:tr>
    </w:tbl>
    <w:p>
      <w:pPr>
        <w:spacing w:after="160"/>
      </w:pPr>
    </w:p>
    <w:p>
      <w:pPr>
        <w:pStyle w:val="Heading1"/>
        <w:spacing w:after="160" w:before="320"/>
      </w:pPr>
      <w:r>
        <w:t xml:space="preserve">2. Problem Statement</w:t>
      </w:r>
    </w:p>
    <w:p>
      <w:pPr>
        <w:spacing w:after="160"/>
      </w:pPr>
      <w:r>
        <w:t xml:space="preserve">Ghana's smallholder agricultural sector is fragmented across three actors who each carry a distinct, unresolved constraint:</w:t>
      </w:r>
    </w:p>
    <w:p>
      <w:pPr>
        <w:pStyle w:val="ListParagraph"/>
        <w:numPr>
          <w:ilvl w:val="0"/>
          <w:numId w:val="2"/>
        </w:numPr>
        <w:spacing w:after="80"/>
      </w:pPr>
      <w:r>
        <w:rPr>
          <w:b/>
          <w:bCs/>
        </w:rPr>
        <w:t xml:space="preserve">Farmers </w:t>
      </w:r>
      <w:r>
        <w:t xml:space="preserve">have unreliable access to structured markets, inconsistent access to quality inputs and mechanisation, and limited technical guidance on producing to a specific buyer's quality and grading standard.</w:t>
      </w:r>
    </w:p>
    <w:p>
      <w:pPr>
        <w:pStyle w:val="ListParagraph"/>
        <w:numPr>
          <w:ilvl w:val="0"/>
          <w:numId w:val="2"/>
        </w:numPr>
        <w:spacing w:after="80"/>
      </w:pPr>
      <w:r>
        <w:rPr>
          <w:b/>
          <w:bCs/>
        </w:rPr>
        <w:t xml:space="preserve">Buyers </w:t>
      </w:r>
      <w:r>
        <w:t xml:space="preserve">— institutional (MoFA-linked) and private (processors, exporters, retailers) — cannot reliably source consistent volumes that meet defined quality, grading, and delivery specifications from a fragmented smallholder base.</w:t>
      </w:r>
    </w:p>
    <w:p>
      <w:pPr>
        <w:pStyle w:val="ListParagraph"/>
        <w:numPr>
          <w:ilvl w:val="0"/>
          <w:numId w:val="2"/>
        </w:numPr>
        <w:spacing w:after="80"/>
      </w:pPr>
      <w:r>
        <w:rPr>
          <w:b/>
          <w:bCs/>
        </w:rPr>
        <w:t xml:space="preserve">Vendors </w:t>
      </w:r>
      <w:r>
        <w:t xml:space="preserve">(input suppliers, equipment/mechanisation providers) lack a structured channel to reach farmers with the right inputs at the right time, tied to what buyers actually require that season.</w:t>
      </w:r>
    </w:p>
    <w:p>
      <w:pPr>
        <w:spacing w:after="160"/>
      </w:pPr>
      <w:r>
        <w:t xml:space="preserve">Farm Master's role is to sit between all three as aggregator, agronomy authority, and logistics operator — translating buyer demand into farmer instructions, and coordinating the physical and financial logistics that connect the two sides. The platform is the coordination layer that makes this triangle visible, accountable, and transactable instead of manual and informal.</w:t>
      </w:r>
    </w:p>
    <w:p>
      <w:pPr>
        <w:pStyle w:val="Heading1"/>
        <w:spacing w:after="160" w:before="320"/>
      </w:pPr>
      <w:r>
        <w:t xml:space="preserve">3. Target Users</w:t>
      </w:r>
    </w:p>
    <w:p>
      <w:pPr>
        <w:pStyle w:val="Heading2"/>
        <w:spacing w:after="120" w:before="240"/>
      </w:pPr>
      <w:r>
        <w:t xml:space="preserve">3.1 External Users (Portal Users)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300"/>
      </w:tblGrid>
      <w:tr>
        <w:trPr>
          <w:tblHeader/>
        </w:trPr>
        <w:tc>
          <w:tcPr>
            <w:tcW w:type="dxa" w:w="2400"/>
            <w:shd w:fill="1B3A2A" w:color="auto" w:val="clear"/>
            <w:tcMar>
              <w:top w:type="dxa" w:w="80"/>
              <w:left w:type="dxa" w:w="100"/>
              <w:bottom w:type="dxa" w:w="80"/>
              <w:right w:type="dxa" w:w="100"/>
            </w:tcMar>
          </w:tcPr>
          <w:p>
            <w:r>
              <w:rPr>
                <w:b/>
                <w:bCs/>
                <w:color w:val="FFFFFF"/>
                <w:sz w:val="20"/>
                <w:szCs w:val="20"/>
              </w:rPr>
              <w:t xml:space="preserve">User Type</w:t>
            </w:r>
          </w:p>
        </w:tc>
        <w:tc>
          <w:tcPr>
            <w:tcW w:type="dxa" w:w="4200"/>
            <w:shd w:fill="1B3A2A" w:color="auto" w:val="clear"/>
            <w:tcMar>
              <w:top w:type="dxa" w:w="80"/>
              <w:left w:type="dxa" w:w="100"/>
              <w:bottom w:type="dxa" w:w="80"/>
              <w:right w:type="dxa" w:w="100"/>
            </w:tcMar>
          </w:tcPr>
          <w:p>
            <w:r>
              <w:rPr>
                <w:b/>
                <w:bCs/>
                <w:color w:val="FFFFFF"/>
                <w:sz w:val="20"/>
                <w:szCs w:val="20"/>
              </w:rPr>
              <w:t xml:space="preserve">Description</w:t>
            </w:r>
          </w:p>
        </w:tc>
        <w:tc>
          <w:tcPr>
            <w:tcW w:type="dxa" w:w="3300"/>
            <w:shd w:fill="1B3A2A" w:color="auto" w:val="clear"/>
            <w:tcMar>
              <w:top w:type="dxa" w:w="80"/>
              <w:left w:type="dxa" w:w="100"/>
              <w:bottom w:type="dxa" w:w="80"/>
              <w:right w:type="dxa" w:w="100"/>
            </w:tcMar>
          </w:tcPr>
          <w:p>
            <w:r>
              <w:rPr>
                <w:b/>
                <w:bCs/>
                <w:color w:val="FFFFFF"/>
                <w:sz w:val="20"/>
                <w:szCs w:val="20"/>
              </w:rPr>
              <w:t xml:space="preserve">Primary Need From Platform</w:t>
            </w:r>
          </w:p>
        </w:tc>
      </w:tr>
      <w:tr>
        <w:tc>
          <w:tcPr>
            <w:tcW w:type="dxa" w:w="2400"/>
            <w:tcMar>
              <w:top w:type="dxa" w:w="80"/>
              <w:left w:type="dxa" w:w="100"/>
              <w:bottom w:type="dxa" w:w="80"/>
              <w:right w:type="dxa" w:w="100"/>
            </w:tcMar>
          </w:tcPr>
          <w:p>
            <w:r>
              <w:rPr>
                <w:b w:val="false"/>
                <w:bCs w:val="false"/>
                <w:sz w:val="20"/>
                <w:szCs w:val="20"/>
              </w:rPr>
              <w:t xml:space="preserve">Farmer / Farmer Union</w:t>
            </w:r>
          </w:p>
        </w:tc>
        <w:tc>
          <w:tcPr>
            <w:tcW w:type="dxa" w:w="4200"/>
            <w:tcMar>
              <w:top w:type="dxa" w:w="80"/>
              <w:left w:type="dxa" w:w="100"/>
              <w:bottom w:type="dxa" w:w="80"/>
              <w:right w:type="dxa" w:w="100"/>
            </w:tcMar>
          </w:tcPr>
          <w:p>
            <w:r>
              <w:rPr>
                <w:b w:val="false"/>
                <w:bCs w:val="false"/>
                <w:sz w:val="20"/>
                <w:szCs w:val="20"/>
              </w:rPr>
              <w:t xml:space="preserve">Registered smallholder farmers and farmer unions, KYC'd via Ghana Card, farm location/GPS, farm size, crop history.</w:t>
            </w:r>
          </w:p>
        </w:tc>
        <w:tc>
          <w:tcPr>
            <w:tcW w:type="dxa" w:w="3300"/>
            <w:tcMar>
              <w:top w:type="dxa" w:w="80"/>
              <w:left w:type="dxa" w:w="100"/>
              <w:bottom w:type="dxa" w:w="80"/>
              <w:right w:type="dxa" w:w="100"/>
            </w:tcMar>
          </w:tcPr>
          <w:p>
            <w:r>
              <w:rPr>
                <w:b w:val="false"/>
                <w:bCs w:val="false"/>
                <w:sz w:val="20"/>
                <w:szCs w:val="20"/>
              </w:rPr>
              <w:t xml:space="preserve">A reliable buyer-backed opportunity, clear production instructions, input access, and timely settlement.</w:t>
            </w:r>
          </w:p>
        </w:tc>
      </w:tr>
      <w:tr>
        <w:tc>
          <w:tcPr>
            <w:tcW w:type="dxa" w:w="2400"/>
            <w:shd w:fill="EAF3EA" w:color="auto" w:val="clear"/>
            <w:tcMar>
              <w:top w:type="dxa" w:w="80"/>
              <w:left w:type="dxa" w:w="100"/>
              <w:bottom w:type="dxa" w:w="80"/>
              <w:right w:type="dxa" w:w="100"/>
            </w:tcMar>
          </w:tcPr>
          <w:p>
            <w:r>
              <w:rPr>
                <w:b w:val="false"/>
                <w:bCs w:val="false"/>
                <w:sz w:val="20"/>
                <w:szCs w:val="20"/>
              </w:rPr>
              <w:t xml:space="preserve">Buyer — Institutional (MoFA-linked)</w:t>
            </w:r>
          </w:p>
        </w:tc>
        <w:tc>
          <w:tcPr>
            <w:tcW w:type="dxa" w:w="4200"/>
            <w:shd w:fill="EAF3EA" w:color="auto" w:val="clear"/>
            <w:tcMar>
              <w:top w:type="dxa" w:w="80"/>
              <w:left w:type="dxa" w:w="100"/>
              <w:bottom w:type="dxa" w:w="80"/>
              <w:right w:type="dxa" w:w="100"/>
            </w:tcMar>
          </w:tcPr>
          <w:p>
            <w:r>
              <w:rPr>
                <w:b w:val="false"/>
                <w:bCs w:val="false"/>
                <w:sz w:val="20"/>
                <w:szCs w:val="20"/>
              </w:rPr>
              <w:t xml:space="preserve">Government feeding-programme and MoFA-linked institutional buyers.</w:t>
            </w:r>
          </w:p>
        </w:tc>
        <w:tc>
          <w:tcPr>
            <w:tcW w:type="dxa" w:w="3300"/>
            <w:shd w:fill="EAF3EA" w:color="auto" w:val="clear"/>
            <w:tcMar>
              <w:top w:type="dxa" w:w="80"/>
              <w:left w:type="dxa" w:w="100"/>
              <w:bottom w:type="dxa" w:w="80"/>
              <w:right w:type="dxa" w:w="100"/>
            </w:tcMar>
          </w:tcPr>
          <w:p>
            <w:r>
              <w:rPr>
                <w:b w:val="false"/>
                <w:bCs w:val="false"/>
                <w:sz w:val="20"/>
                <w:szCs w:val="20"/>
              </w:rPr>
              <w:t xml:space="preserve">Consistent, specification-compliant volume with traceability and compliance documentation for public reporting.</w:t>
            </w:r>
          </w:p>
        </w:tc>
      </w:tr>
      <w:tr>
        <w:tc>
          <w:tcPr>
            <w:tcW w:type="dxa" w:w="2400"/>
            <w:tcMar>
              <w:top w:type="dxa" w:w="80"/>
              <w:left w:type="dxa" w:w="100"/>
              <w:bottom w:type="dxa" w:w="80"/>
              <w:right w:type="dxa" w:w="100"/>
            </w:tcMar>
          </w:tcPr>
          <w:p>
            <w:r>
              <w:rPr>
                <w:b w:val="false"/>
                <w:bCs w:val="false"/>
                <w:sz w:val="20"/>
                <w:szCs w:val="20"/>
              </w:rPr>
              <w:t xml:space="preserve">Buyer — Private</w:t>
            </w:r>
          </w:p>
        </w:tc>
        <w:tc>
          <w:tcPr>
            <w:tcW w:type="dxa" w:w="4200"/>
            <w:tcMar>
              <w:top w:type="dxa" w:w="80"/>
              <w:left w:type="dxa" w:w="100"/>
              <w:bottom w:type="dxa" w:w="80"/>
              <w:right w:type="dxa" w:w="100"/>
            </w:tcMar>
          </w:tcPr>
          <w:p>
            <w:r>
              <w:rPr>
                <w:b w:val="false"/>
                <w:bCs w:val="false"/>
                <w:sz w:val="20"/>
                <w:szCs w:val="20"/>
              </w:rPr>
              <w:t xml:space="preserve">Processors, exporters, retailers approaching Farm Master directly.</w:t>
            </w:r>
          </w:p>
        </w:tc>
        <w:tc>
          <w:tcPr>
            <w:tcW w:type="dxa" w:w="3300"/>
            <w:tcMar>
              <w:top w:type="dxa" w:w="80"/>
              <w:left w:type="dxa" w:w="100"/>
              <w:bottom w:type="dxa" w:w="80"/>
              <w:right w:type="dxa" w:w="100"/>
            </w:tcMar>
          </w:tcPr>
          <w:p>
            <w:r>
              <w:rPr>
                <w:b w:val="false"/>
                <w:bCs w:val="false"/>
                <w:sz w:val="20"/>
                <w:szCs w:val="20"/>
              </w:rPr>
              <w:t xml:space="preserve">Reliable, gradeable supply on a defined delivery timeline, with an auditable order-to-delivery trail.</w:t>
            </w:r>
          </w:p>
        </w:tc>
      </w:tr>
      <w:tr>
        <w:tc>
          <w:tcPr>
            <w:tcW w:type="dxa" w:w="2400"/>
            <w:shd w:fill="EAF3EA" w:color="auto" w:val="clear"/>
            <w:tcMar>
              <w:top w:type="dxa" w:w="80"/>
              <w:left w:type="dxa" w:w="100"/>
              <w:bottom w:type="dxa" w:w="80"/>
              <w:right w:type="dxa" w:w="100"/>
            </w:tcMar>
          </w:tcPr>
          <w:p>
            <w:r>
              <w:rPr>
                <w:b w:val="false"/>
                <w:bCs w:val="false"/>
                <w:sz w:val="20"/>
                <w:szCs w:val="20"/>
              </w:rPr>
              <w:t xml:space="preserve">Vendor — Third-Party</w:t>
            </w:r>
          </w:p>
        </w:tc>
        <w:tc>
          <w:tcPr>
            <w:tcW w:type="dxa" w:w="4200"/>
            <w:shd w:fill="EAF3EA" w:color="auto" w:val="clear"/>
            <w:tcMar>
              <w:top w:type="dxa" w:w="80"/>
              <w:left w:type="dxa" w:w="100"/>
              <w:bottom w:type="dxa" w:w="80"/>
              <w:right w:type="dxa" w:w="100"/>
            </w:tcMar>
          </w:tcPr>
          <w:p>
            <w:r>
              <w:rPr>
                <w:b w:val="false"/>
                <w:bCs w:val="false"/>
                <w:sz w:val="20"/>
                <w:szCs w:val="20"/>
              </w:rPr>
              <w:t xml:space="preserve">Independent input suppliers and equipment/mechanisation dealers.</w:t>
            </w:r>
          </w:p>
        </w:tc>
        <w:tc>
          <w:tcPr>
            <w:tcW w:type="dxa" w:w="3300"/>
            <w:shd w:fill="EAF3EA" w:color="auto" w:val="clear"/>
            <w:tcMar>
              <w:top w:type="dxa" w:w="80"/>
              <w:left w:type="dxa" w:w="100"/>
              <w:bottom w:type="dxa" w:w="80"/>
              <w:right w:type="dxa" w:w="100"/>
            </w:tcMar>
          </w:tcPr>
          <w:p>
            <w:r>
              <w:rPr>
                <w:b w:val="false"/>
                <w:bCs w:val="false"/>
                <w:sz w:val="20"/>
                <w:szCs w:val="20"/>
              </w:rPr>
              <w:t xml:space="preserve">A distribution channel to farmers with demand-backed orders and managed logistics/payout.</w:t>
            </w:r>
          </w:p>
        </w:tc>
      </w:tr>
      <w:tr>
        <w:tc>
          <w:tcPr>
            <w:tcW w:type="dxa" w:w="2400"/>
            <w:tcMar>
              <w:top w:type="dxa" w:w="80"/>
              <w:left w:type="dxa" w:w="100"/>
              <w:bottom w:type="dxa" w:w="80"/>
              <w:right w:type="dxa" w:w="100"/>
            </w:tcMar>
          </w:tcPr>
          <w:p>
            <w:r>
              <w:rPr>
                <w:b w:val="false"/>
                <w:bCs w:val="false"/>
                <w:sz w:val="20"/>
                <w:szCs w:val="20"/>
              </w:rPr>
              <w:t xml:space="preserve">Vendor — Farm Master-Owned</w:t>
            </w:r>
          </w:p>
        </w:tc>
        <w:tc>
          <w:tcPr>
            <w:tcW w:type="dxa" w:w="4200"/>
            <w:tcMar>
              <w:top w:type="dxa" w:w="80"/>
              <w:left w:type="dxa" w:w="100"/>
              <w:bottom w:type="dxa" w:w="80"/>
              <w:right w:type="dxa" w:w="100"/>
            </w:tcMar>
          </w:tcPr>
          <w:p>
            <w:r>
              <w:rPr>
                <w:b w:val="false"/>
                <w:bCs w:val="false"/>
                <w:sz w:val="20"/>
                <w:szCs w:val="20"/>
              </w:rPr>
              <w:t xml:space="preserve">Company-owned input shops, distinct badge from third-party vendors.</w:t>
            </w:r>
          </w:p>
        </w:tc>
        <w:tc>
          <w:tcPr>
            <w:tcW w:type="dxa" w:w="3300"/>
            <w:tcMar>
              <w:top w:type="dxa" w:w="80"/>
              <w:left w:type="dxa" w:w="100"/>
              <w:bottom w:type="dxa" w:w="80"/>
              <w:right w:type="dxa" w:w="100"/>
            </w:tcMar>
          </w:tcPr>
          <w:p>
            <w:r>
              <w:rPr>
                <w:b w:val="false"/>
                <w:bCs w:val="false"/>
                <w:sz w:val="20"/>
                <w:szCs w:val="20"/>
              </w:rPr>
              <w:t xml:space="preserve">Same storefront tooling as third-party vendors, plus a direct company revenue line.</w:t>
            </w:r>
          </w:p>
        </w:tc>
      </w:tr>
    </w:tbl>
    <w:p>
      <w:pPr>
        <w:spacing w:after="160"/>
      </w:pPr>
    </w:p>
    <w:p>
      <w:pPr>
        <w:spacing w:after="160"/>
      </w:pPr>
      <w:r>
        <w:t xml:space="preserve">Note on farmer unions: the row above lists "Farmer / Farmer Union" as one matched audience, consistent with the Business Concept Document's language throughout. For the pilot specifically, every registrant — whether an individual smallholder or a farmer-union member — registers and is served as an individual farmer profile. Union-level functionality (a union representative overseeing multiple member farmers as a group) is confirmed as deferred to Phase 2, not part of the pilot scope.</w:t>
      </w:r>
    </w:p>
    <w:p>
      <w:pPr>
        <w:pStyle w:val="Heading2"/>
        <w:spacing w:after="120" w:before="240"/>
      </w:pPr>
      <w:r>
        <w:t xml:space="preserve">3.2 Internal Users (Farm Master Control Centre)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B3A2A" w:color="auto" w:val="clear"/>
            <w:tcMar>
              <w:top w:type="dxa" w:w="80"/>
              <w:left w:type="dxa" w:w="100"/>
              <w:bottom w:type="dxa" w:w="80"/>
              <w:right w:type="dxa" w:w="100"/>
            </w:tcMar>
          </w:tcPr>
          <w:p>
            <w:r>
              <w:rPr>
                <w:b/>
                <w:bCs/>
                <w:color w:val="FFFFFF"/>
                <w:sz w:val="20"/>
                <w:szCs w:val="20"/>
              </w:rPr>
              <w:t xml:space="preserve">Role</w:t>
            </w:r>
          </w:p>
        </w:tc>
        <w:tc>
          <w:tcPr>
            <w:tcW w:type="dxa" w:w="7300"/>
            <w:shd w:fill="1B3A2A" w:color="auto" w:val="clear"/>
            <w:tcMar>
              <w:top w:type="dxa" w:w="80"/>
              <w:left w:type="dxa" w:w="100"/>
              <w:bottom w:type="dxa" w:w="80"/>
              <w:right w:type="dxa" w:w="100"/>
            </w:tcMar>
          </w:tcPr>
          <w:p>
            <w:r>
              <w:rPr>
                <w:b/>
                <w:bCs/>
                <w:color w:val="FFFFFF"/>
                <w:sz w:val="20"/>
                <w:szCs w:val="20"/>
              </w:rPr>
              <w:t xml:space="preserve">Core Responsibility on the Platform</w:t>
            </w:r>
          </w:p>
        </w:tc>
      </w:tr>
      <w:tr>
        <w:tc>
          <w:tcPr>
            <w:tcW w:type="dxa" w:w="2600"/>
            <w:tcMar>
              <w:top w:type="dxa" w:w="80"/>
              <w:left w:type="dxa" w:w="100"/>
              <w:bottom w:type="dxa" w:w="80"/>
              <w:right w:type="dxa" w:w="100"/>
            </w:tcMar>
          </w:tcPr>
          <w:p>
            <w:r>
              <w:rPr>
                <w:b w:val="false"/>
                <w:bCs w:val="false"/>
                <w:sz w:val="20"/>
                <w:szCs w:val="20"/>
              </w:rPr>
              <w:t xml:space="preserve">Agronomist</w:t>
            </w:r>
          </w:p>
        </w:tc>
        <w:tc>
          <w:tcPr>
            <w:tcW w:type="dxa" w:w="7300"/>
            <w:tcMar>
              <w:top w:type="dxa" w:w="80"/>
              <w:left w:type="dxa" w:w="100"/>
              <w:bottom w:type="dxa" w:w="80"/>
              <w:right w:type="dxa" w:w="100"/>
            </w:tcMar>
          </w:tcPr>
          <w:p>
            <w:r>
              <w:rPr>
                <w:b w:val="false"/>
                <w:bCs w:val="false"/>
                <w:sz w:val="20"/>
                <w:szCs w:val="20"/>
              </w:rPr>
              <w:t xml:space="preserve">Converts buyer specifications into production formulas; guides farmers through the season; logs field visits and quality checkpoints.</w:t>
            </w:r>
          </w:p>
        </w:tc>
      </w:tr>
      <w:tr>
        <w:tc>
          <w:tcPr>
            <w:tcW w:type="dxa" w:w="2600"/>
            <w:shd w:fill="EAF3EA" w:color="auto" w:val="clear"/>
            <w:tcMar>
              <w:top w:type="dxa" w:w="80"/>
              <w:left w:type="dxa" w:w="100"/>
              <w:bottom w:type="dxa" w:w="80"/>
              <w:right w:type="dxa" w:w="100"/>
            </w:tcMar>
          </w:tcPr>
          <w:p>
            <w:r>
              <w:rPr>
                <w:b w:val="false"/>
                <w:bCs w:val="false"/>
                <w:sz w:val="20"/>
                <w:szCs w:val="20"/>
              </w:rPr>
              <w:t xml:space="preserve">Logistics</w:t>
            </w:r>
          </w:p>
        </w:tc>
        <w:tc>
          <w:tcPr>
            <w:tcW w:type="dxa" w:w="7300"/>
            <w:shd w:fill="EAF3EA" w:color="auto" w:val="clear"/>
            <w:tcMar>
              <w:top w:type="dxa" w:w="80"/>
              <w:left w:type="dxa" w:w="100"/>
              <w:bottom w:type="dxa" w:w="80"/>
              <w:right w:type="dxa" w:w="100"/>
            </w:tcMar>
          </w:tcPr>
          <w:p>
            <w:r>
              <w:rPr>
                <w:b w:val="false"/>
                <w:bCs w:val="false"/>
                <w:sz w:val="20"/>
                <w:szCs w:val="20"/>
              </w:rPr>
              <w:t xml:space="preserve">Manages the tricycle/vehicle fleet; assigns routes for input delivery and produce pickup; captures proof of delivery/pickup.</w:t>
            </w:r>
          </w:p>
        </w:tc>
      </w:tr>
      <w:tr>
        <w:tc>
          <w:tcPr>
            <w:tcW w:type="dxa" w:w="2600"/>
            <w:tcMar>
              <w:top w:type="dxa" w:w="80"/>
              <w:left w:type="dxa" w:w="100"/>
              <w:bottom w:type="dxa" w:w="80"/>
              <w:right w:type="dxa" w:w="100"/>
            </w:tcMar>
          </w:tcPr>
          <w:p>
            <w:r>
              <w:rPr>
                <w:b w:val="false"/>
                <w:bCs w:val="false"/>
                <w:sz w:val="20"/>
                <w:szCs w:val="20"/>
              </w:rPr>
              <w:t xml:space="preserve">Admin / Finance</w:t>
            </w:r>
          </w:p>
        </w:tc>
        <w:tc>
          <w:tcPr>
            <w:tcW w:type="dxa" w:w="7300"/>
            <w:tcMar>
              <w:top w:type="dxa" w:w="80"/>
              <w:left w:type="dxa" w:w="100"/>
              <w:bottom w:type="dxa" w:w="80"/>
              <w:right w:type="dxa" w:w="100"/>
            </w:tcMar>
          </w:tcPr>
          <w:p>
            <w:r>
              <w:rPr>
                <w:b w:val="false"/>
                <w:bCs w:val="false"/>
                <w:sz w:val="20"/>
                <w:szCs w:val="20"/>
              </w:rPr>
              <w:t xml:space="preserve">Manages user verification, reconciliation of commitment fees and trading margins, vendor payouts, and farmer settlements; reporting to MoFA and institutional partners.</w:t>
            </w:r>
          </w:p>
        </w:tc>
      </w:tr>
    </w:tbl>
    <w:p>
      <w:pPr>
        <w:spacing w:after="160"/>
      </w:pPr>
    </w:p>
    <w:p>
      <w:pPr>
        <w:spacing w:after="160"/>
      </w:pPr>
      <w:r>
        <w:t xml:space="preserve">Access to each of the six roles above (Farmer, Buyer, Vendor, Agronomist, Logistics, Admin) must be permission-scoped from the start — this is a confirmed constraint, not a later add-on, since a Farmer must never see Buyer order data or another Farmer's settlement figures, and Logistics staff need dispatch visibility without financial reconciliation access.</w:t>
      </w:r>
    </w:p>
    <w:p>
      <w:pPr>
        <w:pStyle w:val="Heading1"/>
        <w:spacing w:after="160" w:before="320"/>
      </w:pPr>
      <w:r>
        <w:t xml:space="preserve">4. Goals, By Portal</w:t>
      </w:r>
    </w:p>
    <w:p>
      <w:pPr>
        <w:pStyle w:val="Heading2"/>
        <w:spacing w:after="120" w:before="240"/>
      </w:pPr>
      <w:r>
        <w:t xml:space="preserve">4.1 Farmer Portal — Goals</w:t>
      </w:r>
    </w:p>
    <w:p>
      <w:pPr>
        <w:pStyle w:val="ListParagraph"/>
        <w:numPr>
          <w:ilvl w:val="0"/>
          <w:numId w:val="2"/>
        </w:numPr>
        <w:spacing w:after="80"/>
      </w:pPr>
      <w:r>
        <w:t xml:space="preserve">Give every registered farmer a single place to see buyer-backed opportunities matched to their region and crop history, rather than relying on informal word-of-mouth demand.</w:t>
      </w:r>
    </w:p>
    <w:p>
      <w:pPr>
        <w:pStyle w:val="ListParagraph"/>
        <w:numPr>
          <w:ilvl w:val="0"/>
          <w:numId w:val="2"/>
        </w:numPr>
        <w:spacing w:after="80"/>
      </w:pPr>
      <w:r>
        <w:t xml:space="preserve">Replace verbal/ad-hoc agronomy guidance with a structured, trackable production formula tied to each accepted opportunity.</w:t>
      </w:r>
    </w:p>
    <w:p>
      <w:pPr>
        <w:pStyle w:val="ListParagraph"/>
        <w:numPr>
          <w:ilvl w:val="0"/>
          <w:numId w:val="2"/>
        </w:numPr>
        <w:spacing w:after="80"/>
      </w:pPr>
      <w:r>
        <w:t xml:space="preserve">Make input ordering and mechanisation booking a direct extension of the production formula, not a separate errand.</w:t>
      </w:r>
    </w:p>
    <w:p>
      <w:pPr>
        <w:pStyle w:val="ListParagraph"/>
        <w:numPr>
          <w:ilvl w:val="0"/>
          <w:numId w:val="2"/>
        </w:numPr>
        <w:spacing w:after="80"/>
      </w:pPr>
      <w:r>
        <w:t xml:space="preserve">Give farmers visibility into their own settlement — what they earned, what was deducted for inputs/logistics, and what's owed — replacing manual reconciliation.</w:t>
      </w:r>
    </w:p>
    <w:p>
      <w:pPr>
        <w:pStyle w:val="Heading2"/>
        <w:spacing w:after="120" w:before="240"/>
      </w:pPr>
      <w:r>
        <w:t xml:space="preserve">4.2 Buyer Portal — Goals</w:t>
      </w:r>
    </w:p>
    <w:p>
      <w:pPr>
        <w:pStyle w:val="ListParagraph"/>
        <w:numPr>
          <w:ilvl w:val="0"/>
          <w:numId w:val="2"/>
        </w:numPr>
        <w:spacing w:after="80"/>
      </w:pPr>
      <w:r>
        <w:t xml:space="preserve">Let a buyer convert a sourcing need into a structured, payable order in one flow, with the specification captured precisely enough to drive the agronomy formula.</w:t>
      </w:r>
    </w:p>
    <w:p>
      <w:pPr>
        <w:pStyle w:val="ListParagraph"/>
        <w:numPr>
          <w:ilvl w:val="0"/>
          <w:numId w:val="2"/>
        </w:numPr>
        <w:spacing w:after="80"/>
      </w:pPr>
      <w:r>
        <w:t xml:space="preserve">Give buyers real-time visibility into where their order stands (matching, production, aggregation, shipment) without needing to call Farm Master for status.</w:t>
      </w:r>
    </w:p>
    <w:p>
      <w:pPr>
        <w:pStyle w:val="ListParagraph"/>
        <w:numPr>
          <w:ilvl w:val="0"/>
          <w:numId w:val="2"/>
        </w:numPr>
        <w:spacing w:after="80"/>
      </w:pPr>
      <w:r>
        <w:t xml:space="preserve">Support the operational difference between a one-off private buyer order and a recurring MoFA-linked institutional requirement (standing orders).</w:t>
      </w:r>
    </w:p>
    <w:p>
      <w:pPr>
        <w:pStyle w:val="Heading2"/>
        <w:spacing w:after="120" w:before="240"/>
      </w:pPr>
      <w:r>
        <w:t xml:space="preserve">4.3 Vendor Portal — Goals</w:t>
      </w:r>
    </w:p>
    <w:p>
      <w:pPr>
        <w:pStyle w:val="ListParagraph"/>
        <w:numPr>
          <w:ilvl w:val="0"/>
          <w:numId w:val="2"/>
        </w:numPr>
        <w:spacing w:after="80"/>
      </w:pPr>
      <w:r>
        <w:t xml:space="preserve">Give both third-party and Farm Master-owned vendors a storefront that reaches farmers with demand that's already backed by an active production formula.</w:t>
      </w:r>
    </w:p>
    <w:p>
      <w:pPr>
        <w:pStyle w:val="ListParagraph"/>
        <w:numPr>
          <w:ilvl w:val="0"/>
          <w:numId w:val="2"/>
        </w:numPr>
        <w:spacing w:after="80"/>
      </w:pPr>
      <w:r>
        <w:t xml:space="preserve">Make equipment/mechanisation booking (not just product sales) a first-class transaction type, since this is a distinct revenue stream.</w:t>
      </w:r>
    </w:p>
    <w:p>
      <w:pPr>
        <w:pStyle w:val="ListParagraph"/>
        <w:numPr>
          <w:ilvl w:val="0"/>
          <w:numId w:val="2"/>
        </w:numPr>
        <w:spacing w:after="80"/>
      </w:pPr>
      <w:r>
        <w:t xml:space="preserve">Route every vendor order into Farm Master's logistics dispatch automatically — a vendor should never need to separately arrange delivery.</w:t>
      </w:r>
    </w:p>
    <w:p>
      <w:pPr>
        <w:pStyle w:val="Heading2"/>
        <w:spacing w:after="120" w:before="240"/>
      </w:pPr>
      <w:r>
        <w:t xml:space="preserve">4.4 Farm Master Control Centre — Goals (Internal)</w:t>
      </w:r>
    </w:p>
    <w:p>
      <w:pPr>
        <w:pStyle w:val="ListParagraph"/>
        <w:numPr>
          <w:ilvl w:val="0"/>
          <w:numId w:val="2"/>
        </w:numPr>
        <w:spacing w:after="80"/>
      </w:pPr>
      <w:r>
        <w:t xml:space="preserve">Give agronomists a queue of active production formulas and farmers to manage per season, not a generic admin panel.</w:t>
      </w:r>
    </w:p>
    <w:p>
      <w:pPr>
        <w:pStyle w:val="ListParagraph"/>
        <w:numPr>
          <w:ilvl w:val="0"/>
          <w:numId w:val="2"/>
        </w:numPr>
        <w:spacing w:after="80"/>
      </w:pPr>
      <w:r>
        <w:t xml:space="preserve">Give logistics a single dispatch view spanning outbound (inputs to farms) and inbound (produce to fulfilment centres, and fulfilment centres to Tema).</w:t>
      </w:r>
    </w:p>
    <w:p>
      <w:pPr>
        <w:pStyle w:val="ListParagraph"/>
        <w:numPr>
          <w:ilvl w:val="0"/>
          <w:numId w:val="2"/>
        </w:numPr>
        <w:spacing w:after="80"/>
      </w:pPr>
      <w:r>
        <w:t xml:space="preserve">Give finance/admin an automatic reconciliation view per order — commitment fee received, farmer settlement due, vendor payout due, and Farm Master's trading margin — rather than manual spreadsheet reconciliation.</w:t>
      </w:r>
    </w:p>
    <w:p>
      <w:pPr>
        <w:pStyle w:val="Heading1"/>
        <w:spacing w:after="160" w:before="320"/>
      </w:pPr>
      <w:r>
        <w:t xml:space="preserve">5. Confirmed Technical Constraints</w:t>
      </w:r>
    </w:p>
    <w:p>
      <w:pPr>
        <w:spacing w:after="160"/>
      </w:pPr>
      <w:r>
        <w:t xml:space="preserve">These are treated as fixed requirements for Phase 1, not open design questions:</w:t>
      </w:r>
    </w:p>
    <w:p>
      <w:pPr>
        <w:pStyle w:val="ListParagraph"/>
        <w:numPr>
          <w:ilvl w:val="0"/>
          <w:numId w:val="2"/>
        </w:numPr>
        <w:spacing w:after="80"/>
      </w:pPr>
      <w:r>
        <w:rPr>
          <w:b/>
          <w:bCs/>
        </w:rPr>
        <w:t xml:space="preserve">Responsive web application </w:t>
      </w:r>
      <w:r>
        <w:t xml:space="preserve">as the primary build (desktop, tablet, and mobile browser) — no native mobile app in Phase 1.</w:t>
      </w:r>
    </w:p>
    <w:p>
      <w:pPr>
        <w:pStyle w:val="ListParagraph"/>
        <w:numPr>
          <w:ilvl w:val="0"/>
          <w:numId w:val="2"/>
        </w:numPr>
        <w:spacing w:after="80"/>
      </w:pPr>
      <w:r>
        <w:rPr>
          <w:b/>
          <w:bCs/>
        </w:rPr>
        <w:t xml:space="preserve">USSD/SMS fallback </w:t>
      </w:r>
      <w:r>
        <w:t xml:space="preserve">for farmer opportunity alerts, harvest pickup confirmation, and payment notifications, for farmers without smartphone or reliable data access.</w:t>
      </w:r>
    </w:p>
    <w:p>
      <w:pPr>
        <w:pStyle w:val="ListParagraph"/>
        <w:numPr>
          <w:ilvl w:val="0"/>
          <w:numId w:val="2"/>
        </w:numPr>
        <w:spacing w:after="80"/>
      </w:pPr>
      <w:r>
        <w:rPr>
          <w:b/>
          <w:bCs/>
        </w:rPr>
        <w:t xml:space="preserve">Mobile money as the primary payment rail </w:t>
      </w:r>
      <w:r>
        <w:t xml:space="preserve">(MTN MoMo, Vodafone Cash, AirtelTigo Money), with card payment supported for institutional buyers.</w:t>
      </w:r>
    </w:p>
    <w:p>
      <w:pPr>
        <w:pStyle w:val="ListParagraph"/>
        <w:numPr>
          <w:ilvl w:val="0"/>
          <w:numId w:val="2"/>
        </w:numPr>
        <w:spacing w:after="80"/>
      </w:pPr>
      <w:r>
        <w:rPr>
          <w:b/>
          <w:bCs/>
        </w:rPr>
        <w:t xml:space="preserve">Central relational database </w:t>
      </w:r>
      <w:r>
        <w:t xml:space="preserve">linking farmer profiles, buyer orders, production formulas, vendor transactions, and logistics jobs — built for full order-to-farm-to-buyer traceability from day one, since this traceability is both a buyer requirement and a MoFA/compliance requirement, not a nice-to-have.</w:t>
      </w:r>
    </w:p>
    <w:p>
      <w:pPr>
        <w:pStyle w:val="ListParagraph"/>
        <w:numPr>
          <w:ilvl w:val="0"/>
          <w:numId w:val="2"/>
        </w:numPr>
        <w:spacing w:after="80"/>
      </w:pPr>
      <w:r>
        <w:rPr>
          <w:b/>
          <w:bCs/>
        </w:rPr>
        <w:t xml:space="preserve">Offline-tolerant data capture </w:t>
      </w:r>
      <w:r>
        <w:t xml:space="preserve">at regional fulfilment centres, where connectivity is intermittent.</w:t>
      </w:r>
    </w:p>
    <w:p>
      <w:pPr>
        <w:pStyle w:val="ListParagraph"/>
        <w:numPr>
          <w:ilvl w:val="0"/>
          <w:numId w:val="2"/>
        </w:numPr>
        <w:spacing w:after="80"/>
      </w:pPr>
      <w:r>
        <w:rPr>
          <w:b/>
          <w:bCs/>
        </w:rPr>
        <w:t xml:space="preserve">Role-based access control </w:t>
      </w:r>
      <w:r>
        <w:t xml:space="preserve">across all six user types (Section 3), enforced at the data layer, not just the UI.</w:t>
      </w:r>
    </w:p>
    <w:p>
      <w:pPr>
        <w:pStyle w:val="Heading1"/>
        <w:spacing w:after="160" w:before="320"/>
      </w:pPr>
      <w:r>
        <w:t xml:space="preserve">6. Phase 1 Pilot — Must-Have Features</w:t>
      </w:r>
    </w:p>
    <w:p>
      <w:pPr>
        <w:spacing w:after="160"/>
      </w:pPr>
      <w:r>
        <w:t xml:space="preserve">The workflow guide asks for 3–5 must-have features to scope the pilot. Drawing directly from the Business Concept Document's end-to-end flow (Section 3.2) and Implementation Roadmap (Phase 1–2), and now scoped concretely to the confirmed pilot parameters in Section 1.1 (Tema, single crop — maize, cold-onboarded buyers and a mixed vendor pool), the pilot's must-haves 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300"/>
        <w:gridCol w:w="3000"/>
      </w:tblGrid>
      <w:tr>
        <w:trPr>
          <w:tblHeader/>
        </w:trPr>
        <w:tc>
          <w:tcPr>
            <w:tcW w:type="dxa" w:w="500"/>
            <w:shd w:fill="1B3A2A" w:color="auto" w:val="clear"/>
            <w:tcMar>
              <w:top w:type="dxa" w:w="80"/>
              <w:left w:type="dxa" w:w="100"/>
              <w:bottom w:type="dxa" w:w="80"/>
              <w:right w:type="dxa" w:w="100"/>
            </w:tcMar>
          </w:tcPr>
          <w:p>
            <w:r>
              <w:rPr>
                <w:b/>
                <w:bCs/>
                <w:color w:val="FFFFFF"/>
                <w:sz w:val="20"/>
                <w:szCs w:val="20"/>
              </w:rPr>
              <w:t xml:space="preserve">#</w:t>
            </w:r>
          </w:p>
        </w:tc>
        <w:tc>
          <w:tcPr>
            <w:tcW w:type="dxa" w:w="3600"/>
            <w:shd w:fill="1B3A2A" w:color="auto" w:val="clear"/>
            <w:tcMar>
              <w:top w:type="dxa" w:w="80"/>
              <w:left w:type="dxa" w:w="100"/>
              <w:bottom w:type="dxa" w:w="80"/>
              <w:right w:type="dxa" w:w="100"/>
            </w:tcMar>
          </w:tcPr>
          <w:p>
            <w:r>
              <w:rPr>
                <w:b/>
                <w:bCs/>
                <w:color w:val="FFFFFF"/>
                <w:sz w:val="20"/>
                <w:szCs w:val="20"/>
              </w:rPr>
              <w:t xml:space="preserve">Must-Have Feature</w:t>
            </w:r>
          </w:p>
        </w:tc>
        <w:tc>
          <w:tcPr>
            <w:tcW w:type="dxa" w:w="2300"/>
            <w:shd w:fill="1B3A2A" w:color="auto" w:val="clear"/>
            <w:tcMar>
              <w:top w:type="dxa" w:w="80"/>
              <w:left w:type="dxa" w:w="100"/>
              <w:bottom w:type="dxa" w:w="80"/>
              <w:right w:type="dxa" w:w="100"/>
            </w:tcMar>
          </w:tcPr>
          <w:p>
            <w:r>
              <w:rPr>
                <w:b/>
                <w:bCs/>
                <w:color w:val="FFFFFF"/>
                <w:sz w:val="20"/>
                <w:szCs w:val="20"/>
              </w:rPr>
              <w:t xml:space="preserve">Portal(s)</w:t>
            </w:r>
          </w:p>
        </w:tc>
        <w:tc>
          <w:tcPr>
            <w:tcW w:type="dxa" w:w="3000"/>
            <w:shd w:fill="1B3A2A" w:color="auto" w:val="clear"/>
            <w:tcMar>
              <w:top w:type="dxa" w:w="80"/>
              <w:left w:type="dxa" w:w="100"/>
              <w:bottom w:type="dxa" w:w="80"/>
              <w:right w:type="dxa" w:w="100"/>
            </w:tcMar>
          </w:tcPr>
          <w:p>
            <w:r>
              <w:rPr>
                <w:b/>
                <w:bCs/>
                <w:color w:val="FFFFFF"/>
                <w:sz w:val="20"/>
                <w:szCs w:val="20"/>
              </w:rPr>
              <w:t xml:space="preserve">Why It's Must-Have for the Pilot</w:t>
            </w:r>
          </w:p>
        </w:tc>
      </w:tr>
      <w:tr>
        <w:tc>
          <w:tcPr>
            <w:tcW w:type="dxa" w:w="500"/>
            <w:tcMar>
              <w:top w:type="dxa" w:w="80"/>
              <w:left w:type="dxa" w:w="100"/>
              <w:bottom w:type="dxa" w:w="80"/>
              <w:right w:type="dxa" w:w="100"/>
            </w:tcMar>
          </w:tcPr>
          <w:p>
            <w:r>
              <w:rPr>
                <w:b w:val="false"/>
                <w:bCs w:val="false"/>
                <w:sz w:val="20"/>
                <w:szCs w:val="20"/>
              </w:rPr>
              <w:t xml:space="preserve">1</w:t>
            </w:r>
          </w:p>
        </w:tc>
        <w:tc>
          <w:tcPr>
            <w:tcW w:type="dxa" w:w="3600"/>
            <w:tcMar>
              <w:top w:type="dxa" w:w="80"/>
              <w:left w:type="dxa" w:w="100"/>
              <w:bottom w:type="dxa" w:w="80"/>
              <w:right w:type="dxa" w:w="100"/>
            </w:tcMar>
          </w:tcPr>
          <w:p>
            <w:r>
              <w:rPr>
                <w:b w:val="false"/>
                <w:bCs w:val="false"/>
                <w:sz w:val="20"/>
                <w:szCs w:val="20"/>
              </w:rPr>
              <w:t xml:space="preserve">Buyer crop request + commitment fee payment</w:t>
            </w:r>
          </w:p>
        </w:tc>
        <w:tc>
          <w:tcPr>
            <w:tcW w:type="dxa" w:w="2300"/>
            <w:tcMar>
              <w:top w:type="dxa" w:w="80"/>
              <w:left w:type="dxa" w:w="100"/>
              <w:bottom w:type="dxa" w:w="80"/>
              <w:right w:type="dxa" w:w="100"/>
            </w:tcMar>
          </w:tcPr>
          <w:p>
            <w:r>
              <w:rPr>
                <w:b w:val="false"/>
                <w:bCs w:val="false"/>
                <w:sz w:val="20"/>
                <w:szCs w:val="20"/>
              </w:rPr>
              <w:t xml:space="preserve">Buyer</w:t>
            </w:r>
          </w:p>
        </w:tc>
        <w:tc>
          <w:tcPr>
            <w:tcW w:type="dxa" w:w="3000"/>
            <w:tcMar>
              <w:top w:type="dxa" w:w="80"/>
              <w:left w:type="dxa" w:w="100"/>
              <w:bottom w:type="dxa" w:w="80"/>
              <w:right w:type="dxa" w:w="100"/>
            </w:tcMar>
          </w:tcPr>
          <w:p>
            <w:r>
              <w:rPr>
                <w:b w:val="false"/>
                <w:bCs w:val="false"/>
                <w:sz w:val="20"/>
                <w:szCs w:val="20"/>
              </w:rPr>
              <w:t xml:space="preserve">This is the transaction that starts the entire order-to-delivery cycle — nothing downstream can be piloted without it.</w:t>
            </w:r>
          </w:p>
        </w:tc>
      </w:tr>
      <w:tr>
        <w:tc>
          <w:tcPr>
            <w:tcW w:type="dxa" w:w="500"/>
            <w:shd w:fill="EAF3EA" w:color="auto" w:val="clear"/>
            <w:tcMar>
              <w:top w:type="dxa" w:w="80"/>
              <w:left w:type="dxa" w:w="100"/>
              <w:bottom w:type="dxa" w:w="80"/>
              <w:right w:type="dxa" w:w="100"/>
            </w:tcMar>
          </w:tcPr>
          <w:p>
            <w:r>
              <w:rPr>
                <w:b w:val="false"/>
                <w:bCs w:val="false"/>
                <w:sz w:val="20"/>
                <w:szCs w:val="20"/>
              </w:rPr>
              <w:t xml:space="preserve">2</w:t>
            </w:r>
          </w:p>
        </w:tc>
        <w:tc>
          <w:tcPr>
            <w:tcW w:type="dxa" w:w="3600"/>
            <w:shd w:fill="EAF3EA" w:color="auto" w:val="clear"/>
            <w:tcMar>
              <w:top w:type="dxa" w:w="80"/>
              <w:left w:type="dxa" w:w="100"/>
              <w:bottom w:type="dxa" w:w="80"/>
              <w:right w:type="dxa" w:w="100"/>
            </w:tcMar>
          </w:tcPr>
          <w:p>
            <w:r>
              <w:rPr>
                <w:b w:val="false"/>
                <w:bCs w:val="false"/>
                <w:sz w:val="20"/>
                <w:szCs w:val="20"/>
              </w:rPr>
              <w:t xml:space="preserve">Farmer opportunity board + digital production formula</w:t>
            </w:r>
          </w:p>
        </w:tc>
        <w:tc>
          <w:tcPr>
            <w:tcW w:type="dxa" w:w="2300"/>
            <w:shd w:fill="EAF3EA" w:color="auto" w:val="clear"/>
            <w:tcMar>
              <w:top w:type="dxa" w:w="80"/>
              <w:left w:type="dxa" w:w="100"/>
              <w:bottom w:type="dxa" w:w="80"/>
              <w:right w:type="dxa" w:w="100"/>
            </w:tcMar>
          </w:tcPr>
          <w:p>
            <w:r>
              <w:rPr>
                <w:b w:val="false"/>
                <w:bCs w:val="false"/>
                <w:sz w:val="20"/>
                <w:szCs w:val="20"/>
              </w:rPr>
              <w:t xml:space="preserve">Farmer</w:t>
            </w:r>
          </w:p>
        </w:tc>
        <w:tc>
          <w:tcPr>
            <w:tcW w:type="dxa" w:w="3000"/>
            <w:shd w:fill="EAF3EA" w:color="auto" w:val="clear"/>
            <w:tcMar>
              <w:top w:type="dxa" w:w="80"/>
              <w:left w:type="dxa" w:w="100"/>
              <w:bottom w:type="dxa" w:w="80"/>
              <w:right w:type="dxa" w:w="100"/>
            </w:tcMar>
          </w:tcPr>
          <w:p>
            <w:r>
              <w:rPr>
                <w:b w:val="false"/>
                <w:bCs w:val="false"/>
                <w:sz w:val="20"/>
                <w:szCs w:val="20"/>
              </w:rPr>
              <w:t xml:space="preserve">This is the core value exchange for farmers and the mechanism that turns a buyer spec into farm-level instructions.</w:t>
            </w:r>
          </w:p>
        </w:tc>
      </w:tr>
      <w:tr>
        <w:tc>
          <w:tcPr>
            <w:tcW w:type="dxa" w:w="500"/>
            <w:tcMar>
              <w:top w:type="dxa" w:w="80"/>
              <w:left w:type="dxa" w:w="100"/>
              <w:bottom w:type="dxa" w:w="80"/>
              <w:right w:type="dxa" w:w="100"/>
            </w:tcMar>
          </w:tcPr>
          <w:p>
            <w:r>
              <w:rPr>
                <w:b w:val="false"/>
                <w:bCs w:val="false"/>
                <w:sz w:val="20"/>
                <w:szCs w:val="20"/>
              </w:rPr>
              <w:t xml:space="preserve">3</w:t>
            </w:r>
          </w:p>
        </w:tc>
        <w:tc>
          <w:tcPr>
            <w:tcW w:type="dxa" w:w="3600"/>
            <w:tcMar>
              <w:top w:type="dxa" w:w="80"/>
              <w:left w:type="dxa" w:w="100"/>
              <w:bottom w:type="dxa" w:w="80"/>
              <w:right w:type="dxa" w:w="100"/>
            </w:tcMar>
          </w:tcPr>
          <w:p>
            <w:r>
              <w:rPr>
                <w:b w:val="false"/>
                <w:bCs w:val="false"/>
                <w:sz w:val="20"/>
                <w:szCs w:val="20"/>
              </w:rPr>
              <w:t xml:space="preserve">Vendor input ordering routed to logistics dispatch</w:t>
            </w:r>
          </w:p>
        </w:tc>
        <w:tc>
          <w:tcPr>
            <w:tcW w:type="dxa" w:w="2300"/>
            <w:tcMar>
              <w:top w:type="dxa" w:w="80"/>
              <w:left w:type="dxa" w:w="100"/>
              <w:bottom w:type="dxa" w:w="80"/>
              <w:right w:type="dxa" w:w="100"/>
            </w:tcMar>
          </w:tcPr>
          <w:p>
            <w:r>
              <w:rPr>
                <w:b w:val="false"/>
                <w:bCs w:val="false"/>
                <w:sz w:val="20"/>
                <w:szCs w:val="20"/>
              </w:rPr>
              <w:t xml:space="preserve">Vendor + Internal (Logistics)</w:t>
            </w:r>
          </w:p>
        </w:tc>
        <w:tc>
          <w:tcPr>
            <w:tcW w:type="dxa" w:w="3000"/>
            <w:tcMar>
              <w:top w:type="dxa" w:w="80"/>
              <w:left w:type="dxa" w:w="100"/>
              <w:bottom w:type="dxa" w:w="80"/>
              <w:right w:type="dxa" w:w="100"/>
            </w:tcMar>
          </w:tcPr>
          <w:p>
            <w:r>
              <w:rPr>
                <w:b w:val="false"/>
                <w:bCs w:val="false"/>
                <w:sz w:val="20"/>
                <w:szCs w:val="20"/>
              </w:rPr>
              <w:t xml:space="preserve">Proves the input-out half of the physical loop and activates the logistics-fee revenue stream from day one.</w:t>
            </w:r>
          </w:p>
        </w:tc>
      </w:tr>
      <w:tr>
        <w:tc>
          <w:tcPr>
            <w:tcW w:type="dxa" w:w="500"/>
            <w:shd w:fill="EAF3EA" w:color="auto" w:val="clear"/>
            <w:tcMar>
              <w:top w:type="dxa" w:w="80"/>
              <w:left w:type="dxa" w:w="100"/>
              <w:bottom w:type="dxa" w:w="80"/>
              <w:right w:type="dxa" w:w="100"/>
            </w:tcMar>
          </w:tcPr>
          <w:p>
            <w:r>
              <w:rPr>
                <w:b w:val="false"/>
                <w:bCs w:val="false"/>
                <w:sz w:val="20"/>
                <w:szCs w:val="20"/>
              </w:rPr>
              <w:t xml:space="preserve">4</w:t>
            </w:r>
          </w:p>
        </w:tc>
        <w:tc>
          <w:tcPr>
            <w:tcW w:type="dxa" w:w="3600"/>
            <w:shd w:fill="EAF3EA" w:color="auto" w:val="clear"/>
            <w:tcMar>
              <w:top w:type="dxa" w:w="80"/>
              <w:left w:type="dxa" w:w="100"/>
              <w:bottom w:type="dxa" w:w="80"/>
              <w:right w:type="dxa" w:w="100"/>
            </w:tcMar>
          </w:tcPr>
          <w:p>
            <w:r>
              <w:rPr>
                <w:b w:val="false"/>
                <w:bCs w:val="false"/>
                <w:sz w:val="20"/>
                <w:szCs w:val="20"/>
              </w:rPr>
              <w:t xml:space="preserve">Harvest pickup request + fulfilment centre intake/grading</w:t>
            </w:r>
          </w:p>
        </w:tc>
        <w:tc>
          <w:tcPr>
            <w:tcW w:type="dxa" w:w="2300"/>
            <w:shd w:fill="EAF3EA" w:color="auto" w:val="clear"/>
            <w:tcMar>
              <w:top w:type="dxa" w:w="80"/>
              <w:left w:type="dxa" w:w="100"/>
              <w:bottom w:type="dxa" w:w="80"/>
              <w:right w:type="dxa" w:w="100"/>
            </w:tcMar>
          </w:tcPr>
          <w:p>
            <w:r>
              <w:rPr>
                <w:b w:val="false"/>
                <w:bCs w:val="false"/>
                <w:sz w:val="20"/>
                <w:szCs w:val="20"/>
              </w:rPr>
              <w:t xml:space="preserve">Farmer + Internal (Fulfilment Centre)</w:t>
            </w:r>
          </w:p>
        </w:tc>
        <w:tc>
          <w:tcPr>
            <w:tcW w:type="dxa" w:w="3000"/>
            <w:shd w:fill="EAF3EA" w:color="auto" w:val="clear"/>
            <w:tcMar>
              <w:top w:type="dxa" w:w="80"/>
              <w:left w:type="dxa" w:w="100"/>
              <w:bottom w:type="dxa" w:w="80"/>
              <w:right w:type="dxa" w:w="100"/>
            </w:tcMar>
          </w:tcPr>
          <w:p>
            <w:r>
              <w:rPr>
                <w:b w:val="false"/>
                <w:bCs w:val="false"/>
                <w:sz w:val="20"/>
                <w:szCs w:val="20"/>
              </w:rPr>
              <w:t xml:space="preserve">Proves the produce-in half of the physical loop and is the precondition for buyer delivery and settlement.</w:t>
            </w:r>
          </w:p>
        </w:tc>
      </w:tr>
      <w:tr>
        <w:tc>
          <w:tcPr>
            <w:tcW w:type="dxa" w:w="500"/>
            <w:tcMar>
              <w:top w:type="dxa" w:w="80"/>
              <w:left w:type="dxa" w:w="100"/>
              <w:bottom w:type="dxa" w:w="80"/>
              <w:right w:type="dxa" w:w="100"/>
            </w:tcMar>
          </w:tcPr>
          <w:p>
            <w:r>
              <w:rPr>
                <w:b w:val="false"/>
                <w:bCs w:val="false"/>
                <w:sz w:val="20"/>
                <w:szCs w:val="20"/>
              </w:rPr>
              <w:t xml:space="preserve">5</w:t>
            </w:r>
          </w:p>
        </w:tc>
        <w:tc>
          <w:tcPr>
            <w:tcW w:type="dxa" w:w="3600"/>
            <w:tcMar>
              <w:top w:type="dxa" w:w="80"/>
              <w:left w:type="dxa" w:w="100"/>
              <w:bottom w:type="dxa" w:w="80"/>
              <w:right w:type="dxa" w:w="100"/>
            </w:tcMar>
          </w:tcPr>
          <w:p>
            <w:r>
              <w:rPr>
                <w:b w:val="false"/>
                <w:bCs w:val="false"/>
                <w:sz w:val="20"/>
                <w:szCs w:val="20"/>
              </w:rPr>
              <w:t xml:space="preserve">Order reconciliation (commitment fee, trading margin, farmer settlement, vendor payout)</w:t>
            </w:r>
          </w:p>
        </w:tc>
        <w:tc>
          <w:tcPr>
            <w:tcW w:type="dxa" w:w="2300"/>
            <w:tcMar>
              <w:top w:type="dxa" w:w="80"/>
              <w:left w:type="dxa" w:w="100"/>
              <w:bottom w:type="dxa" w:w="80"/>
              <w:right w:type="dxa" w:w="100"/>
            </w:tcMar>
          </w:tcPr>
          <w:p>
            <w:r>
              <w:rPr>
                <w:b w:val="false"/>
                <w:bCs w:val="false"/>
                <w:sz w:val="20"/>
                <w:szCs w:val="20"/>
              </w:rPr>
              <w:t xml:space="preserve">Internal (Admin/Finance)</w:t>
            </w:r>
          </w:p>
        </w:tc>
        <w:tc>
          <w:tcPr>
            <w:tcW w:type="dxa" w:w="3000"/>
            <w:tcMar>
              <w:top w:type="dxa" w:w="80"/>
              <w:left w:type="dxa" w:w="100"/>
              <w:bottom w:type="dxa" w:w="80"/>
              <w:right w:type="dxa" w:w="100"/>
            </w:tcMar>
          </w:tcPr>
          <w:p>
            <w:r>
              <w:rPr>
                <w:b w:val="false"/>
                <w:bCs w:val="false"/>
                <w:sz w:val="20"/>
                <w:szCs w:val="20"/>
              </w:rPr>
              <w:t xml:space="preserve">Without this, none of the six revenue streams are actually measurable — which the Business Concept Document names as the platform's core value.</w:t>
            </w:r>
          </w:p>
        </w:tc>
      </w:tr>
    </w:tbl>
    <w:p>
      <w:pPr>
        <w:spacing w:after="160"/>
      </w:pPr>
    </w:p>
    <w:p>
      <w:pPr>
        <w:spacing w:after="160"/>
      </w:pPr>
      <w:r>
        <w:t xml:space="preserve">Deliberately excluded from the must-have list for the pilot (candidates for fast-follow, not Phase 1 day one): mechanisation/equipment rental booking, the consultation services listing, standing/recurring orders for institutional buyers, and farmer performance/reliability scoring. These all matter to the full concept but aren't required to prove the core order-to-delivery loop.</w:t>
      </w:r>
    </w:p>
    <w:p>
      <w:pPr>
        <w:pStyle w:val="Heading1"/>
        <w:spacing w:after="160" w:before="320"/>
      </w:pPr>
      <w:r>
        <w:t xml:space="preserve">7. Success Metrics</w:t>
      </w:r>
    </w:p>
    <w:p>
      <w:pPr>
        <w:spacing w:after="160"/>
      </w:pPr>
      <w:r>
        <w:t xml:space="preserve">Per the Business Concept Document, Farm Master monetises the ecosystem through six revenue streams. For Phase 1, success is defined as each stream being live, trackable, and reportable as a real transaction on the platform — not yet about volume: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6500"/>
      </w:tblGrid>
      <w:tr>
        <w:trPr>
          <w:tblHeader/>
        </w:trPr>
        <w:tc>
          <w:tcPr>
            <w:tcW w:type="dxa" w:w="2900"/>
            <w:shd w:fill="1B3A2A" w:color="auto" w:val="clear"/>
            <w:tcMar>
              <w:top w:type="dxa" w:w="80"/>
              <w:left w:type="dxa" w:w="100"/>
              <w:bottom w:type="dxa" w:w="80"/>
              <w:right w:type="dxa" w:w="100"/>
            </w:tcMar>
          </w:tcPr>
          <w:p>
            <w:r>
              <w:rPr>
                <w:b/>
                <w:bCs/>
                <w:color w:val="FFFFFF"/>
                <w:sz w:val="20"/>
                <w:szCs w:val="20"/>
              </w:rPr>
              <w:t xml:space="preserve">Revenue Stream</w:t>
            </w:r>
          </w:p>
        </w:tc>
        <w:tc>
          <w:tcPr>
            <w:tcW w:type="dxa" w:w="6500"/>
            <w:shd w:fill="1B3A2A" w:color="auto" w:val="clear"/>
            <w:tcMar>
              <w:top w:type="dxa" w:w="80"/>
              <w:left w:type="dxa" w:w="100"/>
              <w:bottom w:type="dxa" w:w="80"/>
              <w:right w:type="dxa" w:w="100"/>
            </w:tcMar>
          </w:tcPr>
          <w:p>
            <w:r>
              <w:rPr>
                <w:b/>
                <w:bCs/>
                <w:color w:val="FFFFFF"/>
                <w:sz w:val="20"/>
                <w:szCs w:val="20"/>
              </w:rPr>
              <w:t xml:space="preserve">Phase 1 Success Definition</w:t>
            </w:r>
          </w:p>
        </w:tc>
      </w:tr>
      <w:tr>
        <w:tc>
          <w:tcPr>
            <w:tcW w:type="dxa" w:w="2900"/>
            <w:tcMar>
              <w:top w:type="dxa" w:w="80"/>
              <w:left w:type="dxa" w:w="100"/>
              <w:bottom w:type="dxa" w:w="80"/>
              <w:right w:type="dxa" w:w="100"/>
            </w:tcMar>
          </w:tcPr>
          <w:p>
            <w:r>
              <w:rPr>
                <w:b w:val="false"/>
                <w:bCs w:val="false"/>
                <w:sz w:val="20"/>
                <w:szCs w:val="20"/>
              </w:rPr>
              <w:t xml:space="preserve">Logistics support fees</w:t>
            </w:r>
          </w:p>
        </w:tc>
        <w:tc>
          <w:tcPr>
            <w:tcW w:type="dxa" w:w="6500"/>
            <w:tcMar>
              <w:top w:type="dxa" w:w="80"/>
              <w:left w:type="dxa" w:w="100"/>
              <w:bottom w:type="dxa" w:w="80"/>
              <w:right w:type="dxa" w:w="100"/>
            </w:tcMar>
          </w:tcPr>
          <w:p>
            <w:r>
              <w:rPr>
                <w:b w:val="false"/>
                <w:bCs w:val="false"/>
                <w:sz w:val="20"/>
                <w:szCs w:val="20"/>
              </w:rPr>
              <w:t xml:space="preserve">Delivery fee auto-calculated and charged on every Vendor Portal order fulfilled by Farm Master's fleet.</w:t>
            </w:r>
          </w:p>
        </w:tc>
      </w:tr>
      <w:tr>
        <w:tc>
          <w:tcPr>
            <w:tcW w:type="dxa" w:w="2900"/>
            <w:shd w:fill="EAF3EA" w:color="auto" w:val="clear"/>
            <w:tcMar>
              <w:top w:type="dxa" w:w="80"/>
              <w:left w:type="dxa" w:w="100"/>
              <w:bottom w:type="dxa" w:w="80"/>
              <w:right w:type="dxa" w:w="100"/>
            </w:tcMar>
          </w:tcPr>
          <w:p>
            <w:r>
              <w:rPr>
                <w:b w:val="false"/>
                <w:bCs w:val="false"/>
                <w:sz w:val="20"/>
                <w:szCs w:val="20"/>
              </w:rPr>
              <w:t xml:space="preserve">Mechanisation support</w:t>
            </w:r>
          </w:p>
        </w:tc>
        <w:tc>
          <w:tcPr>
            <w:tcW w:type="dxa" w:w="6500"/>
            <w:shd w:fill="EAF3EA" w:color="auto" w:val="clear"/>
            <w:tcMar>
              <w:top w:type="dxa" w:w="80"/>
              <w:left w:type="dxa" w:w="100"/>
              <w:bottom w:type="dxa" w:w="80"/>
              <w:right w:type="dxa" w:w="100"/>
            </w:tcMar>
          </w:tcPr>
          <w:p>
            <w:r>
              <w:rPr>
                <w:b w:val="false"/>
                <w:bCs w:val="false"/>
                <w:sz w:val="20"/>
                <w:szCs w:val="20"/>
              </w:rPr>
              <w:t xml:space="preserve">Deferred past the must-have list (Section 6) — tracked as a Phase 2 metric.</w:t>
            </w:r>
          </w:p>
        </w:tc>
      </w:tr>
      <w:tr>
        <w:tc>
          <w:tcPr>
            <w:tcW w:type="dxa" w:w="2900"/>
            <w:tcMar>
              <w:top w:type="dxa" w:w="80"/>
              <w:left w:type="dxa" w:w="100"/>
              <w:bottom w:type="dxa" w:w="80"/>
              <w:right w:type="dxa" w:w="100"/>
            </w:tcMar>
          </w:tcPr>
          <w:p>
            <w:r>
              <w:rPr>
                <w:b w:val="false"/>
                <w:bCs w:val="false"/>
                <w:sz w:val="20"/>
                <w:szCs w:val="20"/>
              </w:rPr>
              <w:t xml:space="preserve">Aggregation &amp; trade margin</w:t>
            </w:r>
          </w:p>
        </w:tc>
        <w:tc>
          <w:tcPr>
            <w:tcW w:type="dxa" w:w="6500"/>
            <w:tcMar>
              <w:top w:type="dxa" w:w="80"/>
              <w:left w:type="dxa" w:w="100"/>
              <w:bottom w:type="dxa" w:w="80"/>
              <w:right w:type="dxa" w:w="100"/>
            </w:tcMar>
          </w:tcPr>
          <w:p>
            <w:r>
              <w:rPr>
                <w:b w:val="false"/>
                <w:bCs w:val="false"/>
                <w:sz w:val="20"/>
                <w:szCs w:val="20"/>
              </w:rPr>
              <w:t xml:space="preserve">Margin between farmer settlement price and buyer invoice price calculated automatically per order.</w:t>
            </w:r>
          </w:p>
        </w:tc>
      </w:tr>
      <w:tr>
        <w:tc>
          <w:tcPr>
            <w:tcW w:type="dxa" w:w="2900"/>
            <w:shd w:fill="EAF3EA" w:color="auto" w:val="clear"/>
            <w:tcMar>
              <w:top w:type="dxa" w:w="80"/>
              <w:left w:type="dxa" w:w="100"/>
              <w:bottom w:type="dxa" w:w="80"/>
              <w:right w:type="dxa" w:w="100"/>
            </w:tcMar>
          </w:tcPr>
          <w:p>
            <w:r>
              <w:rPr>
                <w:b w:val="false"/>
                <w:bCs w:val="false"/>
                <w:sz w:val="20"/>
                <w:szCs w:val="20"/>
              </w:rPr>
              <w:t xml:space="preserve">Vendor subscription fees</w:t>
            </w:r>
          </w:p>
        </w:tc>
        <w:tc>
          <w:tcPr>
            <w:tcW w:type="dxa" w:w="6500"/>
            <w:shd w:fill="EAF3EA" w:color="auto" w:val="clear"/>
            <w:tcMar>
              <w:top w:type="dxa" w:w="80"/>
              <w:left w:type="dxa" w:w="100"/>
              <w:bottom w:type="dxa" w:w="80"/>
              <w:right w:type="dxa" w:w="100"/>
            </w:tcMar>
          </w:tcPr>
          <w:p>
            <w:r>
              <w:rPr>
                <w:b w:val="false"/>
                <w:bCs w:val="false"/>
                <w:sz w:val="20"/>
                <w:szCs w:val="20"/>
              </w:rPr>
              <w:t xml:space="preserve">At least the Farm Master-owned vendor storefront live and billable; third-party vendor subscriptions can follow in Phase 2.</w:t>
            </w:r>
          </w:p>
        </w:tc>
      </w:tr>
      <w:tr>
        <w:tc>
          <w:tcPr>
            <w:tcW w:type="dxa" w:w="2900"/>
            <w:tcMar>
              <w:top w:type="dxa" w:w="80"/>
              <w:left w:type="dxa" w:w="100"/>
              <w:bottom w:type="dxa" w:w="80"/>
              <w:right w:type="dxa" w:w="100"/>
            </w:tcMar>
          </w:tcPr>
          <w:p>
            <w:r>
              <w:rPr>
                <w:b w:val="false"/>
                <w:bCs w:val="false"/>
                <w:sz w:val="20"/>
                <w:szCs w:val="20"/>
              </w:rPr>
              <w:t xml:space="preserve">Company-owned production</w:t>
            </w:r>
          </w:p>
        </w:tc>
        <w:tc>
          <w:tcPr>
            <w:tcW w:type="dxa" w:w="6500"/>
            <w:tcMar>
              <w:top w:type="dxa" w:w="80"/>
              <w:left w:type="dxa" w:w="100"/>
              <w:bottom w:type="dxa" w:w="80"/>
              <w:right w:type="dxa" w:w="100"/>
            </w:tcMar>
          </w:tcPr>
          <w:p>
            <w:r>
              <w:rPr>
                <w:b w:val="false"/>
                <w:bCs w:val="false"/>
                <w:sz w:val="20"/>
                <w:szCs w:val="20"/>
              </w:rPr>
              <w:t xml:space="preserve">Deferred — Business Concept Document places this in Phase 4 (Scale &amp; Optimise).</w:t>
            </w:r>
          </w:p>
        </w:tc>
      </w:tr>
      <w:tr>
        <w:tc>
          <w:tcPr>
            <w:tcW w:type="dxa" w:w="2900"/>
            <w:shd w:fill="EAF3EA" w:color="auto" w:val="clear"/>
            <w:tcMar>
              <w:top w:type="dxa" w:w="80"/>
              <w:left w:type="dxa" w:w="100"/>
              <w:bottom w:type="dxa" w:w="80"/>
              <w:right w:type="dxa" w:w="100"/>
            </w:tcMar>
          </w:tcPr>
          <w:p>
            <w:r>
              <w:rPr>
                <w:b w:val="false"/>
                <w:bCs w:val="false"/>
                <w:sz w:val="20"/>
                <w:szCs w:val="20"/>
              </w:rPr>
              <w:t xml:space="preserve">Consultation services</w:t>
            </w:r>
          </w:p>
        </w:tc>
        <w:tc>
          <w:tcPr>
            <w:tcW w:type="dxa" w:w="6500"/>
            <w:shd w:fill="EAF3EA" w:color="auto" w:val="clear"/>
            <w:tcMar>
              <w:top w:type="dxa" w:w="80"/>
              <w:left w:type="dxa" w:w="100"/>
              <w:bottom w:type="dxa" w:w="80"/>
              <w:right w:type="dxa" w:w="100"/>
            </w:tcMar>
          </w:tcPr>
          <w:p>
            <w:r>
              <w:rPr>
                <w:b w:val="false"/>
                <w:bCs w:val="false"/>
                <w:sz w:val="20"/>
                <w:szCs w:val="20"/>
              </w:rPr>
              <w:t xml:space="preserve">Deferred past the must-have list — Phase 2+.</w:t>
            </w:r>
          </w:p>
        </w:tc>
      </w:tr>
    </w:tbl>
    <w:p>
      <w:pPr>
        <w:spacing w:after="160"/>
      </w:pPr>
    </w:p>
    <w:p>
      <w:pPr>
        <w:spacing w:after="160"/>
      </w:pPr>
      <w:r>
        <w:t xml:space="preserve">Additional Phase 1 pilot metrics, drawn from Section 11 of the Business Concept Document:</w:t>
      </w:r>
    </w:p>
    <w:p>
      <w:pPr>
        <w:pStyle w:val="ListParagraph"/>
        <w:numPr>
          <w:ilvl w:val="0"/>
          <w:numId w:val="2"/>
        </w:numPr>
        <w:spacing w:after="80"/>
      </w:pPr>
      <w:r>
        <w:t xml:space="preserve">Number of registered farmers/farmer unions and active buyers onboarded in the pilot region.</w:t>
      </w:r>
    </w:p>
    <w:p>
      <w:pPr>
        <w:pStyle w:val="ListParagraph"/>
        <w:numPr>
          <w:ilvl w:val="0"/>
          <w:numId w:val="2"/>
        </w:numPr>
        <w:spacing w:after="80"/>
      </w:pPr>
      <w:r>
        <w:t xml:space="preserve">Volume (tonnage) of crop aggregated and delivered against the buyer's specification.</w:t>
      </w:r>
    </w:p>
    <w:p>
      <w:pPr>
        <w:pStyle w:val="ListParagraph"/>
        <w:numPr>
          <w:ilvl w:val="0"/>
          <w:numId w:val="2"/>
        </w:numPr>
        <w:spacing w:after="80"/>
      </w:pPr>
      <w:r>
        <w:t xml:space="preserve">Specification-compliance rate — proportion of delivered crop meeting the buyer's grade/quality requirement.</w:t>
      </w:r>
    </w:p>
    <w:p>
      <w:pPr>
        <w:pStyle w:val="ListParagraph"/>
        <w:numPr>
          <w:ilvl w:val="0"/>
          <w:numId w:val="2"/>
        </w:numPr>
        <w:spacing w:after="80"/>
      </w:pPr>
      <w:r>
        <w:t xml:space="preserve">Logistics turnaround time: order-to-delivery (inputs out) and harvest-to-fulfilment-centre (produce in).</w:t>
      </w:r>
    </w:p>
    <w:p>
      <w:pPr>
        <w:pStyle w:val="Heading1"/>
        <w:spacing w:after="160" w:before="320"/>
      </w:pPr>
      <w:r>
        <w:t xml:space="preserve">8. Out of Scope for Phase 1</w:t>
      </w:r>
    </w:p>
    <w:p>
      <w:pPr>
        <w:pStyle w:val="ListParagraph"/>
        <w:numPr>
          <w:ilvl w:val="0"/>
          <w:numId w:val="2"/>
        </w:numPr>
        <w:spacing w:after="80"/>
      </w:pPr>
      <w:r>
        <w:t xml:space="preserve">Native mobile app (iOS/Android) — the responsive web app plus USSD/SMS fallback is the full Phase 1 channel strategy.</w:t>
      </w:r>
    </w:p>
    <w:p>
      <w:pPr>
        <w:pStyle w:val="ListParagraph"/>
        <w:numPr>
          <w:ilvl w:val="0"/>
          <w:numId w:val="2"/>
        </w:numPr>
        <w:spacing w:after="80"/>
      </w:pPr>
      <w:r>
        <w:t xml:space="preserve">Regions beyond Tema (Greater Accra) — regional expansion is explicitly Phase 3 per the Implementation Roadmap.</w:t>
      </w:r>
    </w:p>
    <w:p>
      <w:pPr>
        <w:pStyle w:val="ListParagraph"/>
        <w:numPr>
          <w:ilvl w:val="0"/>
          <w:numId w:val="2"/>
        </w:numPr>
        <w:spacing w:after="80"/>
      </w:pPr>
      <w:r>
        <w:t xml:space="preserve">Crops other than maize — the pilot is deliberately single-crop; multi-crop support is a Phase 2 extension once the maize loop is proven.</w:t>
      </w:r>
    </w:p>
    <w:p>
      <w:pPr>
        <w:pStyle w:val="ListParagraph"/>
        <w:numPr>
          <w:ilvl w:val="0"/>
          <w:numId w:val="2"/>
        </w:numPr>
        <w:spacing w:after="80"/>
      </w:pPr>
      <w:r>
        <w:t xml:space="preserve">Mechanisation/equipment rental booking as a bookable calendar module (may still exist as a simple request form; full calendar-based booking is deferred).</w:t>
      </w:r>
    </w:p>
    <w:p>
      <w:pPr>
        <w:pStyle w:val="ListParagraph"/>
        <w:numPr>
          <w:ilvl w:val="0"/>
          <w:numId w:val="2"/>
        </w:numPr>
        <w:spacing w:after="80"/>
      </w:pPr>
      <w:r>
        <w:t xml:space="preserve">Consultation services listing/booking.</w:t>
      </w:r>
    </w:p>
    <w:p>
      <w:pPr>
        <w:pStyle w:val="ListParagraph"/>
        <w:numPr>
          <w:ilvl w:val="0"/>
          <w:numId w:val="2"/>
        </w:numPr>
        <w:spacing w:after="80"/>
      </w:pPr>
      <w:r>
        <w:t xml:space="preserve">Company-owned farm-gate production integration (Phase 4 per the roadmap).</w:t>
      </w:r>
    </w:p>
    <w:p>
      <w:pPr>
        <w:pStyle w:val="ListParagraph"/>
        <w:numPr>
          <w:ilvl w:val="0"/>
          <w:numId w:val="2"/>
        </w:numPr>
        <w:spacing w:after="80"/>
      </w:pPr>
      <w:r>
        <w:t xml:space="preserve">Farmer-union-level management — a union representative overseeing multiple member farmers as a group. Confirmed deferred to Phase 2; the pilot treats every registrant as an individual farmer profile (Section 3.1).</w:t>
      </w:r>
    </w:p>
    <w:p>
      <w:pPr>
        <w:pStyle w:val="ListParagraph"/>
        <w:numPr>
          <w:ilvl w:val="0"/>
          <w:numId w:val="2"/>
        </w:numPr>
        <w:spacing w:after="80"/>
      </w:pPr>
      <w:r>
        <w:t xml:space="preserve">Advanced buyer-farmer matching automation — Phase 1 matching can be manual/agronomist-assisted, with the automated matching engine following in later phases.</w:t>
      </w:r>
    </w:p>
    <w:p>
      <w:pPr>
        <w:pStyle w:val="ListParagraph"/>
        <w:numPr>
          <w:ilvl w:val="0"/>
          <w:numId w:val="2"/>
        </w:numPr>
        <w:spacing w:after="80"/>
      </w:pPr>
      <w:r>
        <w:t xml:space="preserve">A specific payment gateway integration and a finalised MoFA reporting template — both confirmed as open technical decisions for later stages (Section 1.1), not blockers for Stage 2.</w:t>
      </w:r>
    </w:p>
    <w:p>
      <w:pPr>
        <w:pStyle w:val="Heading1"/>
        <w:spacing w:after="160" w:before="320"/>
      </w:pPr>
      <w:r>
        <w:t xml:space="preserve">9. Resolution Record — Stage 1 Open Questions</w:t>
      </w:r>
    </w:p>
    <w:p>
      <w:pPr>
        <w:spacing w:after="160"/>
      </w:pPr>
      <w:r>
        <w:t xml:space="preserve">The original draft of this PRD raised eight open questions before Stage 2 could be considered locked in. Emmanuel answered all eight on 2 September 2026; the confirmed values are consolidated in Section 1.1 and threaded through Sections 3, 6, and 8 above. This section keeps the original question-by-question record for traceability:</w:t>
      </w:r>
    </w:p>
    <w:p>
      <w:pPr>
        <w:pStyle w:val="ListParagraph"/>
        <w:numPr>
          <w:ilvl w:val="0"/>
          <w:numId w:val="3"/>
        </w:numPr>
        <w:spacing w:after="80"/>
      </w:pPr>
      <w:r>
        <w:t xml:space="preserve">Pilot region — RESOLVED: Tema, Greater Accra Region.</w:t>
      </w:r>
    </w:p>
    <w:p>
      <w:pPr>
        <w:pStyle w:val="ListParagraph"/>
        <w:numPr>
          <w:ilvl w:val="0"/>
          <w:numId w:val="3"/>
        </w:numPr>
        <w:spacing w:after="80"/>
      </w:pPr>
      <w:r>
        <w:t xml:space="preserve">Pilot crop(s) — RESOLVED: single crop, maize.</w:t>
      </w:r>
    </w:p>
    <w:p>
      <w:pPr>
        <w:pStyle w:val="ListParagraph"/>
        <w:numPr>
          <w:ilvl w:val="0"/>
          <w:numId w:val="3"/>
        </w:numPr>
        <w:spacing w:after="80"/>
      </w:pPr>
      <w:r>
        <w:t xml:space="preserve">Pilot buyer mix — RESOLVED: no anchor relationships locked in; design for cold onboarding of 2–3 anchor buyers including one MoFA-linked buyer.</w:t>
      </w:r>
    </w:p>
    <w:p>
      <w:pPr>
        <w:pStyle w:val="ListParagraph"/>
        <w:numPr>
          <w:ilvl w:val="0"/>
          <w:numId w:val="3"/>
        </w:numPr>
        <w:spacing w:after="80"/>
      </w:pPr>
      <w:r>
        <w:t xml:space="preserve">Farmer unions vs individual farmers — RESOLVED: individual farmer profile model for the pilot; union management deferred to Phase 2.</w:t>
      </w:r>
    </w:p>
    <w:p>
      <w:pPr>
        <w:pStyle w:val="ListParagraph"/>
        <w:numPr>
          <w:ilvl w:val="0"/>
          <w:numId w:val="3"/>
        </w:numPr>
        <w:spacing w:after="80"/>
      </w:pPr>
      <w:r>
        <w:t xml:space="preserve">Vendor mix for the pilot — RESOLVED: both Farm Master-owned and third-party vendors from day one.</w:t>
      </w:r>
    </w:p>
    <w:p>
      <w:pPr>
        <w:pStyle w:val="ListParagraph"/>
        <w:numPr>
          <w:ilvl w:val="0"/>
          <w:numId w:val="3"/>
        </w:numPr>
        <w:spacing w:after="80"/>
      </w:pPr>
      <w:r>
        <w:t xml:space="preserve">Card payments / gateway — RESOLVED (partially): no processor locked in; Paystack and Hubtel shortlisted as candidates; final choice deferred to the SDD stage.</w:t>
      </w:r>
    </w:p>
    <w:p>
      <w:pPr>
        <w:pStyle w:val="ListParagraph"/>
        <w:numPr>
          <w:ilvl w:val="0"/>
          <w:numId w:val="3"/>
        </w:numPr>
        <w:spacing w:after="80"/>
      </w:pPr>
      <w:r>
        <w:t xml:space="preserve">MoFA reporting — RESOLVED (partially): no MoFA data standard confirmed; generic CSV/PDF export (volume, quality grade, buyer, delivery date) designed for now, to be refined against an actual MoFA template later.</w:t>
      </w:r>
    </w:p>
    <w:p>
      <w:pPr>
        <w:pStyle w:val="ListParagraph"/>
        <w:numPr>
          <w:ilvl w:val="0"/>
          <w:numId w:val="3"/>
        </w:numPr>
        <w:spacing w:after="80"/>
      </w:pPr>
      <w:r>
        <w:t xml:space="preserve">Logistics fleet scale — RESOLVED (placeholder): 3–5 tricycles for the pilot region; exact number to be confirmed before Stage 3 wireframes.</w:t>
      </w:r>
    </w:p>
    <w:p>
      <w:pPr>
        <w:spacing w:after="160"/>
      </w:pPr>
      <w:r>
        <w:t xml:space="preserve">With pilot parameters locked, this PRD is considered CONFIRMED and Stage 2 (Information Architecture) proceeds on the basis of Section 1.1.</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Farm Master Ghana Limited — Confidential — Stage 1 Deliverable —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b/>
        <w:bCs/>
        <w:color w:val="5A5A5A"/>
        <w:sz w:val="16"/>
        <w:szCs w:val="16"/>
      </w:rPr>
      <w:t xml:space="preserve">FARM MASTER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B3A" w:sz="8" w:space="4"/>
      </w:pBdr>
      <w:spacing w:after="160" w:before="320"/>
    </w:pPr>
    <w:rPr>
      <w:rFonts w:ascii="Calibri" w:cs="Calibri" w:eastAsia="Calibri" w:hAnsi="Calibri"/>
      <w:b/>
      <w:bCs/>
      <w:color w:val="1B3A2A"/>
      <w:sz w:val="30"/>
      <w:szCs w:val="30"/>
    </w:rPr>
  </w:style>
  <w:style w:type="paragraph" w:styleId="Heading2">
    <w:name w:val="Heading 2"/>
    <w:basedOn w:val="Normal"/>
    <w:next w:val="Normal"/>
    <w:qFormat/>
    <w:pPr>
      <w:spacing w:after="120" w:before="240"/>
    </w:pPr>
    <w:rPr>
      <w:rFonts w:ascii="Calibri" w:cs="Calibri" w:eastAsia="Calibri" w:hAnsi="Calibri"/>
      <w:b/>
      <w:bCs/>
      <w:color w:val="2F6B3A"/>
      <w:sz w:val="25"/>
      <w:szCs w:val="25"/>
    </w:rPr>
  </w:style>
  <w:style w:type="paragraph" w:styleId="Heading3">
    <w:name w:val="Heading 3"/>
    <w:basedOn w:val="Normal"/>
    <w:next w:val="Normal"/>
    <w:qFormat/>
    <w:pPr>
      <w:spacing w:after="90" w:before="180"/>
    </w:pPr>
    <w:rPr>
      <w:rFonts w:ascii="Calibri" w:cs="Calibri" w:eastAsia="Calibri" w:hAnsi="Calibri"/>
      <w:b/>
      <w:bCs/>
      <w:i/>
      <w:iCs/>
      <w:color w:val="1B3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2026-09-02T09:21:06.311Z</dcterms:created>
  <dcterms:modified xsi:type="dcterms:W3CDTF">2026-09-02T09:21:06.311Z</dcterms:modified>
</cp:coreProperties>
</file>

<file path=docProps/custom.xml><?xml version="1.0" encoding="utf-8"?>
<Properties xmlns="http://schemas.openxmlformats.org/officeDocument/2006/custom-properties" xmlns:vt="http://schemas.openxmlformats.org/officeDocument/2006/docPropsVTypes"/>
</file>