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B3A2A"/>
          <w:sz w:val="44"/>
          <w:szCs w:val="44"/>
        </w:rPr>
        <w:t xml:space="preserve">FARM MASTER</w:t>
      </w:r>
    </w:p>
    <w:p>
      <w:pPr>
        <w:spacing w:after="40"/>
      </w:pPr>
      <w:r>
        <w:rPr>
          <w:b/>
          <w:bCs/>
          <w:color w:val="2F6B3A"/>
          <w:sz w:val="26"/>
          <w:szCs w:val="26"/>
        </w:rPr>
        <w:t xml:space="preserve">INFORMATION ARCHITECTURE</w:t>
      </w:r>
    </w:p>
    <w:p>
      <w:pPr>
        <w:spacing w:after="200"/>
      </w:pPr>
      <w:r>
        <w:rPr>
          <w:i/>
          <w:iCs/>
          <w:color w:val="5A5A5A"/>
          <w:sz w:val="22"/>
          <w:szCs w:val="22"/>
        </w:rPr>
        <w:t xml:space="preserve">Stage 2 — Sitemap &amp; User Flow Diagrams</w:t>
      </w:r>
    </w:p>
    <w:p>
      <w:pPr>
        <w:spacing w:after="40"/>
      </w:pPr>
      <w:r>
        <w:rPr>
          <w:sz w:val="20"/>
          <w:szCs w:val="20"/>
        </w:rPr>
        <w:t xml:space="preserve">Prepared for: Farm Master Ghana Limited (Tema, Greater Accra Region)</w:t>
      </w:r>
    </w:p>
    <w:p>
      <w:pPr>
        <w:spacing w:after="40"/>
      </w:pPr>
      <w:r>
        <w:rPr>
          <w:sz w:val="20"/>
          <w:szCs w:val="20"/>
        </w:rPr>
        <w:t xml:space="preserve">Builds on: Farm_Master_PRD_Stage1.docx</w:t>
      </w:r>
    </w:p>
    <w:p>
      <w:pPr>
        <w:spacing w:after="40"/>
      </w:pPr>
      <w:r>
        <w:rPr>
          <w:sz w:val="20"/>
          <w:szCs w:val="20"/>
        </w:rPr>
        <w:t xml:space="preserve">Date: 2 September 2026 (Rev. 2 — confirmed by Emmanuel)</w:t>
      </w:r>
    </w:p>
    <w:p>
      <w:pPr>
        <w:spacing w:after="260"/>
      </w:pPr>
      <w:r>
        <w:rPr>
          <w:b/>
          <w:bCs/>
          <w:color w:val="2F6B3A"/>
          <w:sz w:val="20"/>
          <w:szCs w:val="20"/>
        </w:rPr>
        <w:t xml:space="preserve">Status: CONFIRMED — proceeding to Stage 3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60" w:before="320"/>
      </w:pPr>
      <w:r>
        <w:t xml:space="preserve">1. Purpose of This Document</w:t>
      </w:r>
    </w:p>
    <w:p>
      <w:pPr>
        <w:spacing w:after="160"/>
      </w:pPr>
      <w:r>
        <w:t xml:space="preserve">This is the Stage 2 deliverable: every screen across the public site, the three portals, and Farm Master's internal operations, plus how they connect to one another; and the three core user journeys already named in the Business Concept Document, drawn as step-by-step flows. Nothing here is styled yet — Stage 4 handles visual design. The point of this stage is to catch structural and handoff mistakes while they're still cheap to fix.</w:t>
      </w:r>
    </w:p>
    <w:p>
      <w:pPr>
        <w:spacing w:after="160"/>
      </w:pPr>
      <w:r>
        <w:t xml:space="preserve">Built on the confirmed Stage 1 pilot parameters (PRD Section 1.1): pilot region Tema (Greater Accra), single pilot crop maize, buyers and vendors onboarded through open public registration rather than pre-selected relationships, both Farm Master-owned and third-party vendors from day one, and a MoFA data-exchange touchpoint on the internal Control Centre — verified institutional buyer data coming in, a generic CSV/PDF compliance report (volume, quality grade, buyer, delivery date) going out.</w:t>
      </w:r>
    </w:p>
    <w:p>
      <w:pPr>
        <w:spacing w:after="240"/>
      </w:pPr>
      <w:r>
        <w:rPr>
          <w:b/>
          <w:bCs/>
          <w:sz w:val="18"/>
          <w:szCs w:val="18"/>
        </w:rPr>
        <w:t xml:space="preserve">  Legend:  </w:t>
      </w:r>
      <w:r>
        <w:rPr>
          <w:sz w:val="18"/>
          <w:szCs w:val="18"/>
          <w:shd w:fill="EAF3EA" w:val="clear"/>
        </w:rPr>
        <w:t xml:space="preserve"> Solid green </w:t>
      </w:r>
      <w:r>
        <w:rPr>
          <w:sz w:val="18"/>
          <w:szCs w:val="18"/>
        </w:rPr>
        <w:t xml:space="preserve"> = Phase 1 pilot must-have.   </w:t>
      </w:r>
      <w:r>
        <w:rPr>
          <w:sz w:val="18"/>
          <w:szCs w:val="18"/>
          <w:shd w:fill="F2F2F2" w:val="clear"/>
        </w:rPr>
        <w:t xml:space="preserve"> Dashed grey </w:t>
      </w:r>
      <w:r>
        <w:rPr>
          <w:sz w:val="18"/>
          <w:szCs w:val="18"/>
        </w:rPr>
        <w:t xml:space="preserve"> = deferred to Phase 2+.   </w:t>
      </w:r>
      <w:r>
        <w:rPr>
          <w:sz w:val="18"/>
          <w:szCs w:val="18"/>
          <w:shd w:fill="FFF7E6" w:val="clear"/>
        </w:rPr>
        <w:t xml:space="preserve"> Amber </w:t>
      </w:r>
      <w:r>
        <w:rPr>
          <w:sz w:val="18"/>
          <w:szCs w:val="18"/>
        </w:rPr>
        <w:t xml:space="preserve"> = MoFA data-exchange touchpoint (new this stage).</w:t>
      </w:r>
    </w:p>
    <w:p>
      <w:pPr>
        <w:pStyle w:val="Heading1"/>
        <w:spacing w:after="160" w:before="320"/>
      </w:pPr>
      <w:r>
        <w:t xml:space="preserve">2. System Map</w:t>
      </w:r>
    </w:p>
    <w:p>
      <w:pPr>
        <w:spacing w:after="160"/>
      </w:pPr>
      <w:r>
        <w:t xml:space="preserve">How the public site, three portals, internal Control Centre, Logistics &amp; Fulfilment Module, Shared Services, and MoFA connect. Numbered arrows trace the core order-to-farm-to-buyer loop from the Business Concept Document (Section 3.2) — for the pilot, this loop runs on maize orders aggregated through the Tema fulfilment centre.</w:t>
      </w:r>
    </w:p>
    <w:p>
      <w:pPr>
        <w:spacing w:after="60"/>
        <w:jc w:val="center"/>
      </w:pPr>
      <w:r>
        <w:drawing>
          <wp:inline distT="0" distB="0" distL="0" distR="0">
            <wp:extent cx="5629368" cy="537805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368" cy="537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A5A5A"/>
          <w:sz w:val="18"/>
          <w:szCs w:val="18"/>
        </w:rPr>
        <w:t xml:space="preserve">Figure 1 — Farm Master platform system map</w:t>
      </w:r>
    </w:p>
    <w:p>
      <w:pPr>
        <w:pStyle w:val="Heading1"/>
        <w:spacing w:after="160" w:before="320"/>
      </w:pPr>
      <w:r>
        <w:t xml:space="preserve">3. Sitemap</w:t>
      </w:r>
    </w:p>
    <w:p>
      <w:pPr>
        <w:pStyle w:val="Heading2"/>
        <w:spacing w:after="120" w:before="240"/>
      </w:pPr>
      <w:r>
        <w:t xml:space="preserve">3.1 Public / Marketing Site</w:t>
      </w:r>
    </w:p>
    <w:p>
      <w:pPr>
        <w:spacing w:after="160"/>
      </w:pPr>
      <w:r>
        <w:t xml:space="preserve">The public entry point — open registration for all three roles, per your confirmation, rather than an invite-only pilot gate. This matters more than it might otherwise, since the pilot's 2–3 anchor buyers (including one MoFA-linked buyer) are being onboarded cold rather than from an existing relationship.</w:t>
      </w:r>
    </w:p>
    <w:p>
      <w:pPr>
        <w:spacing w:after="60"/>
        <w:jc w:val="center"/>
      </w:pPr>
      <w:r>
        <w:drawing>
          <wp:inline distT="0" distB="0" distL="0" distR="0">
            <wp:extent cx="5629368" cy="16158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368" cy="161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A5A5A"/>
          <w:sz w:val="18"/>
          <w:szCs w:val="18"/>
        </w:rPr>
        <w:t xml:space="preserve">Figure 2 — Public site sitemap</w:t>
      </w:r>
    </w:p>
    <w:p>
      <w:pPr>
        <w:pStyle w:val="Heading2"/>
        <w:spacing w:after="120" w:before="240"/>
      </w:pPr>
      <w:r>
        <w:t xml:space="preserve">3.2 Farmer Portal</w:t>
      </w:r>
    </w:p>
    <w:p>
      <w:pPr>
        <w:spacing w:after="60"/>
        <w:jc w:val="center"/>
      </w:pPr>
      <w:r>
        <w:drawing>
          <wp:inline distT="0" distB="0" distL="0" distR="0">
            <wp:extent cx="5629368" cy="56436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368" cy="564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A5A5A"/>
          <w:sz w:val="18"/>
          <w:szCs w:val="18"/>
        </w:rPr>
        <w:t xml:space="preserve">Figure 3 — Farmer Portal sitemap</w:t>
      </w:r>
    </w:p>
    <w:p>
      <w:pPr>
        <w:pStyle w:val="Heading2"/>
        <w:spacing w:after="120" w:before="240"/>
      </w:pPr>
      <w:r>
        <w:t xml:space="preserve">3.3 Buyer Portal</w:t>
      </w:r>
    </w:p>
    <w:p>
      <w:pPr>
        <w:spacing w:after="60"/>
        <w:jc w:val="center"/>
      </w:pPr>
      <w:r>
        <w:drawing>
          <wp:inline distT="0" distB="0" distL="0" distR="0">
            <wp:extent cx="5629368" cy="637585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368" cy="637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A5A5A"/>
          <w:sz w:val="18"/>
          <w:szCs w:val="18"/>
        </w:rPr>
        <w:t xml:space="preserve">Figure 4 — Buyer Portal sitemap</w:t>
      </w:r>
    </w:p>
    <w:p>
      <w:pPr>
        <w:pStyle w:val="Heading2"/>
        <w:spacing w:after="120" w:before="240"/>
      </w:pPr>
      <w:r>
        <w:t xml:space="preserve">3.4 Vendor Portal</w:t>
      </w:r>
    </w:p>
    <w:p>
      <w:pPr>
        <w:spacing w:after="60"/>
        <w:jc w:val="center"/>
      </w:pPr>
      <w:r>
        <w:drawing>
          <wp:inline distT="0" distB="0" distL="0" distR="0">
            <wp:extent cx="5629368" cy="296547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368" cy="296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A5A5A"/>
          <w:sz w:val="18"/>
          <w:szCs w:val="18"/>
        </w:rPr>
        <w:t xml:space="preserve">Figure 5 — Vendor Portal sitemap</w:t>
      </w:r>
    </w:p>
    <w:p>
      <w:pPr>
        <w:pStyle w:val="Heading2"/>
        <w:spacing w:after="120" w:before="240"/>
      </w:pPr>
      <w:r>
        <w:t xml:space="preserve">3.5 Farm Master Internal Operations (Control Centre + Logistics &amp; Fulfilment)</w:t>
      </w:r>
    </w:p>
    <w:p>
      <w:pPr>
        <w:spacing w:after="160"/>
      </w:pPr>
      <w:r>
        <w:t xml:space="preserve">Kept as one combined map since these two layers are tightly coupled operationally, even though Logistics is rider/field-facing while the Control Centre is office-facing. The MoFA Data Exchange screen (amber) is new this stage, added in response to your confirmation that the platform needs MoFA data.</w:t>
      </w:r>
    </w:p>
    <w:p>
      <w:r>
        <w:rPr>
          <w:b w:val="0"/>
          <w:i w:val="0"/>
        </w:rPr>
        <w:t>Amended 3 September 2026: Super Admin / Platform Admin added as a seventh internal role (PRD Section 3.2), splitting user/role administration and audit oversight off from Finance. Two screens added to this sitemap as a result — Audit Log and Registration Approval Queue — and User &amp; Role Admin's scope widened from internal-staff-only to cross-portal (Farmer, Buyer, Vendor, and Internal Operations accounts).</w:t>
      </w:r>
    </w:p>
    <w:p>
      <w:pPr>
        <w:spacing w:after="60"/>
        <w:jc w:val="center"/>
      </w:pPr>
      <w:r>
        <w:drawing>
          <wp:inline distT="0" distB="0" distL="0" distR="0">
            <wp:extent cx="5629368" cy="216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368" cy="216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A5A5A"/>
          <w:sz w:val="18"/>
          <w:szCs w:val="18"/>
        </w:rPr>
        <w:t xml:space="preserve">Figure 6 — Internal operations sitemap</w:t>
      </w:r>
    </w:p>
    <w:p>
      <w:pPr>
        <w:pStyle w:val="Heading1"/>
        <w:spacing w:after="160" w:before="320"/>
      </w:pPr>
      <w:r>
        <w:t xml:space="preserve">4. User Flow Diagrams</w:t>
      </w:r>
    </w:p>
    <w:p>
      <w:pPr>
        <w:spacing w:after="160"/>
      </w:pPr>
      <w:r>
        <w:t xml:space="preserve">The three core journeys named in the Business Concept Document (Sections 4.2, 5.2, 6.2), drawn as step-by-step flows with the decision points that matter most — payment success, opportunity acceptance, and specification compliance.</w:t>
      </w:r>
    </w:p>
    <w:p>
      <w:pPr>
        <w:pStyle w:val="Heading2"/>
        <w:spacing w:after="120" w:before="240"/>
      </w:pPr>
      <w:r>
        <w:t xml:space="preserve">4.1 Buyer Journey</w:t>
      </w:r>
    </w:p>
    <w:p>
      <w:pPr>
        <w:spacing w:after="60"/>
        <w:jc w:val="center"/>
      </w:pPr>
      <w:r>
        <w:drawing>
          <wp:inline distT="0" distB="0" distL="0" distR="0">
            <wp:extent cx="5629368" cy="65340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368" cy="65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A5A5A"/>
          <w:sz w:val="18"/>
          <w:szCs w:val="18"/>
        </w:rPr>
        <w:t xml:space="preserve">Figure 7 — Buyer journey: submit requirement → pay → track → receive → settle</w:t>
      </w:r>
    </w:p>
    <w:p>
      <w:pPr>
        <w:pStyle w:val="Heading2"/>
        <w:spacing w:after="120" w:before="240"/>
      </w:pPr>
      <w:r>
        <w:t xml:space="preserve">4.2 Farmer Journey</w:t>
      </w:r>
    </w:p>
    <w:p>
      <w:pPr>
        <w:spacing w:after="60"/>
        <w:jc w:val="center"/>
      </w:pPr>
      <w:r>
        <w:drawing>
          <wp:inline distT="0" distB="0" distL="0" distR="0">
            <wp:extent cx="5629368" cy="48090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368" cy="48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A5A5A"/>
          <w:sz w:val="18"/>
          <w:szCs w:val="18"/>
        </w:rPr>
        <w:t xml:space="preserve">Figure 8 — Farmer journey: register → accept opportunity → produce → harvest → settle</w:t>
      </w:r>
    </w:p>
    <w:p>
      <w:pPr>
        <w:pStyle w:val="Heading2"/>
        <w:spacing w:after="120" w:before="240"/>
      </w:pPr>
      <w:r>
        <w:t xml:space="preserve">4.3 Vendor / Farmer Purchase Journey</w:t>
      </w:r>
    </w:p>
    <w:p>
      <w:pPr>
        <w:spacing w:after="60"/>
        <w:jc w:val="center"/>
      </w:pPr>
      <w:r>
        <w:drawing>
          <wp:inline distT="0" distB="0" distL="0" distR="0">
            <wp:extent cx="5629368" cy="63169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368" cy="63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A5A5A"/>
          <w:sz w:val="18"/>
          <w:szCs w:val="18"/>
        </w:rPr>
        <w:t xml:space="preserve">Figure 9 — Vendor/farmer purchase journey: browse → order → fulfil → deliver → payout</w:t>
      </w:r>
    </w:p>
    <w:p>
      <w:pPr>
        <w:pStyle w:val="Heading1"/>
        <w:spacing w:after="160" w:before="320"/>
      </w:pPr>
      <w:r>
        <w:t xml:space="preserve">5. Cross-Portal Handoffs (Summary)</w:t>
      </w:r>
    </w:p>
    <w:p>
      <w:pPr>
        <w:spacing w:after="160"/>
      </w:pPr>
      <w:r>
        <w:t xml:space="preserve">The dependencies that make this a genuine end-to-end system rather than three separate apps. These are the handoffs Stage 3's wireframes need to make visually obvious, since a break at any one of them stalls the whole order: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4200"/>
      </w:tblGrid>
      <w:tr>
        <w:trPr>
          <w:tblHeader/>
        </w:trPr>
        <w:tc>
          <w:tcPr>
            <w:tcW w:type="dxa" w:w="500"/>
            <w:shd w:fill="1B3A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shd w:fill="1B3A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Handoff</w:t>
            </w:r>
          </w:p>
        </w:tc>
        <w:tc>
          <w:tcPr>
            <w:tcW w:type="dxa" w:w="4200"/>
            <w:shd w:fill="1B3A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From → To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Crop requirement + commitment fee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Buyer Portal → Control Centre (Agronomy)</w:t>
            </w:r>
          </w:p>
        </w:tc>
      </w:tr>
      <w:tr>
        <w:tc>
          <w:tcPr>
            <w:tcW w:type="dxa" w:w="5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 formula + opportunity</w:t>
            </w:r>
          </w:p>
        </w:tc>
        <w:tc>
          <w:tcPr>
            <w:tcW w:type="dxa" w:w="42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 Centre → Farmer Portal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Input / equipment order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Farmer Portal → Vendor Portal</w:t>
            </w:r>
          </w:p>
        </w:tc>
      </w:tr>
      <w:tr>
        <w:tc>
          <w:tcPr>
            <w:tcW w:type="dxa" w:w="5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 job</w:t>
            </w:r>
          </w:p>
        </w:tc>
        <w:tc>
          <w:tcPr>
            <w:tcW w:type="dxa" w:w="42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Vendor Portal → Logistics &amp; Fulfilment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Harvest pickup request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Farmer Portal → Logistics &amp; Fulfilment</w:t>
            </w:r>
          </w:p>
        </w:tc>
      </w:tr>
      <w:tr>
        <w:tc>
          <w:tcPr>
            <w:tcW w:type="dxa" w:w="5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Graded produce intake</w:t>
            </w:r>
          </w:p>
        </w:tc>
        <w:tc>
          <w:tcPr>
            <w:tcW w:type="dxa" w:w="42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Logistics &amp; Fulfilment → Control Centre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 + compliance docs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 Centre → Buyer Portal</w:t>
            </w:r>
          </w:p>
        </w:tc>
      </w:tr>
      <w:tr>
        <w:tc>
          <w:tcPr>
            <w:tcW w:type="dxa" w:w="5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Settlement / payout</w:t>
            </w:r>
          </w:p>
        </w:tc>
        <w:tc>
          <w:tcPr>
            <w:tcW w:type="dxa" w:w="42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 Centre → Farmer Portal &amp; Vendor Portal</w:t>
            </w:r>
          </w:p>
        </w:tc>
      </w:tr>
      <w:tr>
        <w:tc>
          <w:tcPr>
            <w:tcW w:type="dxa" w:w="500"/>
          </w:tcPr>
          <w:p>
            <w:r>
              <w:t>9</w:t>
            </w:r>
          </w:p>
        </w:tc>
        <w:tc>
          <w:tcPr>
            <w:tcW w:type="dxa" w:w="4200"/>
          </w:tcPr>
          <w:p>
            <w:r>
              <w:t>Vendor confirms date outside farmer’s requested window (added 3 Sep 2026)</w:t>
            </w:r>
          </w:p>
        </w:tc>
        <w:tc>
          <w:tcPr>
            <w:tcW w:type="dxa" w:w="4200"/>
          </w:tcPr>
          <w:p>
            <w:r>
              <w:t>Vendor Portal → Buyer/Super Admin approval → Super Admin audit log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6. Screen Inventory — Phase 1 Pilot vs. Deferred</w:t>
      </w:r>
    </w:p>
    <w:p>
      <w:pPr>
        <w:spacing w:after="160"/>
      </w:pPr>
      <w:r>
        <w:t xml:space="preserve">Consolidated from the sitemaps above, matched against the must-have features locked in Stage 1 (PRD Section 6). Anything marked Deferred is deliberately excluded from Stage 3 wireframes unless you tell me otherwise.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900"/>
        <w:gridCol w:w="2300"/>
      </w:tblGrid>
      <w:tr>
        <w:trPr>
          <w:tblHeader/>
        </w:trPr>
        <w:tc>
          <w:tcPr>
            <w:tcW w:type="dxa" w:w="1700"/>
            <w:shd w:fill="1B3A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Portal / Module</w:t>
            </w:r>
          </w:p>
        </w:tc>
        <w:tc>
          <w:tcPr>
            <w:tcW w:type="dxa" w:w="4900"/>
            <w:shd w:fill="1B3A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 1 Pilot Screens</w:t>
            </w:r>
          </w:p>
        </w:tc>
        <w:tc>
          <w:tcPr>
            <w:tcW w:type="dxa" w:w="2300"/>
            <w:shd w:fill="1B3A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Deferred (Phase 2+)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 Site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Home, About, How It Works, Register (Farmer/Buyer/Vendor), Login, Contact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Regional Fulfilment Centre directory</w:t>
            </w:r>
          </w:p>
        </w:tc>
      </w:tr>
      <w:tr>
        <w:tc>
          <w:tcPr>
            <w:tcW w:type="dxa" w:w="17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Farmer Portal</w:t>
            </w:r>
          </w:p>
        </w:tc>
        <w:tc>
          <w:tcPr>
            <w:tcW w:type="dxa" w:w="49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Registration/KYC, Dashboard, Opportunity Board, Opportunity Detail, Production Formula, Milestone Log, Agronomist Messaging, Order Inputs, Harvest Pickup Request, Wallet/Settlement</w:t>
            </w:r>
          </w:p>
        </w:tc>
        <w:tc>
          <w:tcPr>
            <w:tcW w:type="dxa" w:w="23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 Profile, Farmer Union Management (confirmed Phase 2 — PRD Section 3.1)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Buyer Portal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Registration &amp; Verification, Dashboard, Submit Requirement, Commitment Fee Payment, Order Status, Compliance Docs, Delivery Tracking, Final Invoice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Reorder / Standing Order tools</w:t>
            </w:r>
          </w:p>
        </w:tc>
      </w:tr>
      <w:tr>
        <w:tc>
          <w:tcPr>
            <w:tcW w:type="dxa" w:w="17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Vendor Portal</w:t>
            </w:r>
          </w:p>
        </w:tc>
        <w:tc>
          <w:tcPr>
            <w:tcW w:type="dxa" w:w="49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Registration &amp; Storefront, Dashboard, Product Catalogue, Mechanisation Service Request (simple form), Order Queue, Logistics Handoff Status, Subscription &amp; Billing, Payout Statement</w:t>
            </w:r>
          </w:p>
        </w:tc>
        <w:tc>
          <w:tcPr>
            <w:tcW w:type="dxa" w:w="23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Equipment Rental Booking Calendar, Performance Ratings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Internal Operations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Control Centre Dashboard, Production Formula Builder, Matching Queue (manual), Field Visit Logs, Fulfilment Centre Intake/Grading, Logistics Dispatch, Proof of Pickup/Delivery, Trunking, Finance &amp; Reconciliation, Reporting, MoFA Data Exchange, User &amp; Role Admin (cross-portal, Super Admin), Audit Log, Registration Approval Queue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Buyer-Farmer Matching Engine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7. What Changed From Stage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Public registration confirmed. </w:t>
      </w:r>
      <w:r>
        <w:t xml:space="preserve">All three roles (Farmer, Buyer, Vendor) self-register from the public site rather than being onboarded only through hand-picked anchor relationships — consistent with the confirmed cold-onboarding approach for pilot buyers (PRD Section 1.1).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MoFA Data Exchange screen added. </w:t>
      </w:r>
      <w:r>
        <w:t xml:space="preserve">Placed under Internal Operations (Section 3.5, Figure 6) as a two-way integration point: importing verified institutional buyer/accreditation data from MoFA, and exporting a generic CSV/PDF compliance report — volume, quality grade, buyer, and delivery date — per the confirmed MoFA reporting approach (PRD Section 1.1). The exact report template is expected to be refined once Emmanuel has an actual MoFA standard to design against.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Farmer Union Management resolved. </w:t>
      </w:r>
      <w:r>
        <w:t xml:space="preserve">Confirmed deferred to Phase 2 (PRD Section 3.1) — every pilot registrant is an individual farmer profile, so this stays out of the Farmer Portal sitemap's pilot set (Section 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Pilot crop and region threaded through. </w:t>
      </w:r>
      <w:r>
        <w:t xml:space="preserve">The system map, production-formula screen, and fulfilment-centre intake screen are all scoped to a single crop (maize) moving through a single fulfilment centre (Tema) for the pilot — this keeps Stage 3's wireframes concrete rather than generic.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Agronomist Messaging confirmed in pilot scope. </w:t>
      </w:r>
      <w:r>
        <w:t xml:space="preserve">Stays as a Phase 1 pilot screen in the Farmer Portal sitemap (Figure 3) and the screen inventory (Section 6) — not simplified 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Equipment/input ordering label corrected. </w:t>
      </w:r>
      <w:r>
        <w:t xml:space="preserve">The Farmer Portal's input-ordering screen (Figure 3) and the Vendor Portal's mechanisation screen (Figure 5) were both relabelled to "...simple form" rather than implying a booking calendar — the calendar-based rental module stays correctly scoped as deferred (Figure 5, dashed grey), matching the Section 6 screen inventory.</w:t>
      </w:r>
    </w:p>
    <w:p>
      <w:pPr>
        <w:pStyle w:val="Heading1"/>
        <w:spacing w:after="160" w:before="320"/>
      </w:pPr>
      <w:r>
        <w:t xml:space="preserve">8. Assumptions &amp; Open Questions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Agronomist Messaging is shown as a Phase 1 pilot screen (a chat/voice-note/visit-log channel), even though it wasn't in the Stage 1 five-item must-have list — the production formula alone is of limited use without a way to ask the assigned agronomist a question. If you'd rather keep this out of the pilot and route farmer questions through a phone number or SMS instead, tell me and I'll simplify it before Stage 3.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Logistics fleet scale (placeholder 3–5 tricycles, per PRD Section 1.1) doesn't change this stage's sitemap, but will shape how much route-planning complexity the Logistics Dispatch screen needs in Stage 3 — worth your final number before wireframing that screen specifically.</w:t>
      </w:r>
    </w:p>
    <w:p>
      <w:pPr>
        <w:pStyle w:val="ListParagraph"/>
      </w:pPr>
      <w:r>
        <w:t>Control Centre device priority (added at Stage 3 device-responsiveness audit, 3 September 2026) — RESOLVED by Emmanuel, 3 September 2026: office roles (Agronomist, Admin/Finance) are tablet/desktop-first and field roles (Logistics dispatch, proof of pickup/delivery) are phone-first, since a rider is not carrying a tablet (PRD Section 5.1). Breakpoints (1024px / 768px) also confirmed as specified.</w:t>
      </w:r>
    </w:p>
    <w:p>
      <w:pPr>
        <w:spacing w:after="160"/>
      </w:pPr>
      <w:r>
        <w:t>None of the three needs resolving before Stage 3 starts, and as of 3 September 2026 all three are resolved. I’ll proceed to Stage 4 (visual design) using the confirmed device priorities above, starting with the Buyer Portal or Farmer Portal — your call on which one to design first, per the workflow guide’s “start with whichever portal is most central to your pilot.”</w:t>
      </w:r>
    </w:p>
    <w:p>
      <w:pPr>
        <w:pStyle w:val="Heading1"/>
      </w:pPr>
      <w:r>
        <w:rPr>
          <w:b w:val="0"/>
          <w:i w:val="0"/>
        </w:rPr>
        <w:t>9. Device &amp; Responsiveness Requirements</w:t>
      </w:r>
    </w:p>
    <w:p>
      <w:r>
        <w:rPr>
          <w:b w:val="0"/>
          <w:i w:val="0"/>
        </w:rPr>
        <w:t>Added at Stage 3 (device-responsiveness audit, 3 September 2026), applying to every sitemap screen in Section 3 across desktop, tablet (iOS and Android), and phone (iOS and Android) — not stated explicitly anywhere above until now. Breakpoints match PRD Section 5.1.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158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584"/>
          </w:tcPr>
          <w:p>
            <w:r>
              <w:rPr>
                <w:b/>
              </w:rPr>
              <w:t>Width</w:t>
            </w:r>
          </w:p>
        </w:tc>
        <w:tc>
          <w:tcPr>
            <w:tcW w:type="dxa" w:w="6048"/>
          </w:tcPr>
          <w:p>
            <w:r>
              <w:rPr>
                <w:b/>
              </w:rPr>
              <w:t>Primary devices</w:t>
            </w:r>
          </w:p>
        </w:tc>
      </w:tr>
      <w:tr>
        <w:tc>
          <w:tcPr>
            <w:tcW w:type="dxa" w:w="1584"/>
          </w:tcPr>
          <w:p>
            <w:r>
              <w:t>Desktop</w:t>
            </w:r>
          </w:p>
        </w:tc>
        <w:tc>
          <w:tcPr>
            <w:tcW w:type="dxa" w:w="1584"/>
          </w:tcPr>
          <w:p>
            <w:r>
              <w:t>≥ 1024px</w:t>
            </w:r>
          </w:p>
        </w:tc>
        <w:tc>
          <w:tcPr>
            <w:tcW w:type="dxa" w:w="6048"/>
          </w:tcPr>
          <w:p>
            <w:r>
              <w:t>Laptop / desktop browser</w:t>
            </w:r>
          </w:p>
        </w:tc>
      </w:tr>
      <w:tr>
        <w:tc>
          <w:tcPr>
            <w:tcW w:type="dxa" w:w="1584"/>
          </w:tcPr>
          <w:p>
            <w:r>
              <w:t>Tablet</w:t>
            </w:r>
          </w:p>
        </w:tc>
        <w:tc>
          <w:tcPr>
            <w:tcW w:type="dxa" w:w="1584"/>
          </w:tcPr>
          <w:p>
            <w:r>
              <w:t>768–1023px</w:t>
            </w:r>
          </w:p>
        </w:tc>
        <w:tc>
          <w:tcPr>
            <w:tcW w:type="dxa" w:w="6048"/>
          </w:tcPr>
          <w:p>
            <w:r>
              <w:t>iPad (iOS) and Android tablets</w:t>
            </w:r>
          </w:p>
        </w:tc>
      </w:tr>
      <w:tr>
        <w:tc>
          <w:tcPr>
            <w:tcW w:type="dxa" w:w="1584"/>
          </w:tcPr>
          <w:p>
            <w:r>
              <w:t>Phone</w:t>
            </w:r>
          </w:p>
        </w:tc>
        <w:tc>
          <w:tcPr>
            <w:tcW w:type="dxa" w:w="1584"/>
          </w:tcPr>
          <w:p>
            <w:r>
              <w:t>&lt; 768px</w:t>
            </w:r>
          </w:p>
        </w:tc>
        <w:tc>
          <w:tcPr>
            <w:tcW w:type="dxa" w:w="6048"/>
          </w:tcPr>
          <w:p>
            <w:r>
              <w:t>iPhone (iOS) and Android phones</w:t>
            </w:r>
          </w:p>
        </w:tc>
      </w:tr>
    </w:tbl>
    <w:p>
      <w:pPr>
        <w:pStyle w:val="Heading2"/>
      </w:pPr>
      <w:r>
        <w:rPr>
          <w:b w:val="0"/>
          <w:i w:val="0"/>
        </w:rPr>
        <w:t>9.1 Per-sitemap layout behaviour</w:t>
      </w:r>
    </w:p>
    <w:p>
      <w:r>
        <w:rPr>
          <w:b w:val="0"/>
          <w:i w:val="0"/>
        </w:rPr>
        <w:t>How each sitemap area (Section 3) is expected to collapse across the three tiers, confirmed against the Stage 3 wireframes built on this IA: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2736"/>
          </w:tcPr>
          <w:p>
            <w:r>
              <w:rPr>
                <w:b/>
              </w:rPr>
              <w:t>Sitemap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Device priority</w:t>
            </w:r>
          </w:p>
        </w:tc>
        <w:tc>
          <w:tcPr>
            <w:tcW w:type="dxa" w:w="4752"/>
          </w:tcPr>
          <w:p>
            <w:r>
              <w:rPr>
                <w:b/>
              </w:rPr>
              <w:t>Layout behaviour</w:t>
            </w:r>
          </w:p>
        </w:tc>
      </w:tr>
      <w:tr>
        <w:tc>
          <w:tcPr>
            <w:tcW w:type="dxa" w:w="2736"/>
          </w:tcPr>
          <w:p>
            <w:r>
              <w:t>Public / Marketing Site (3.1)</w:t>
            </w:r>
          </w:p>
        </w:tc>
        <w:tc>
          <w:tcPr>
            <w:tcW w:type="dxa" w:w="2160"/>
          </w:tcPr>
          <w:p>
            <w:r>
              <w:t>Desktop/tablet-first, phone-usable</w:t>
            </w:r>
          </w:p>
        </w:tc>
        <w:tc>
          <w:tcPr>
            <w:tcW w:type="dxa" w:w="4752"/>
          </w:tcPr>
          <w:p>
            <w:r>
              <w:t>Standard marketing-site collapse: multi-column to single column below tablet width.</w:t>
            </w:r>
          </w:p>
        </w:tc>
      </w:tr>
      <w:tr>
        <w:tc>
          <w:tcPr>
            <w:tcW w:type="dxa" w:w="2736"/>
          </w:tcPr>
          <w:p>
            <w:r>
              <w:t>Farmer Portal (3.2)</w:t>
            </w:r>
          </w:p>
        </w:tc>
        <w:tc>
          <w:tcPr>
            <w:tcW w:type="dxa" w:w="2160"/>
          </w:tcPr>
          <w:p>
            <w:r>
              <w:t>Phone-first (Android priority)</w:t>
            </w:r>
          </w:p>
        </w:tc>
        <w:tc>
          <w:tcPr>
            <w:tcW w:type="dxa" w:w="4752"/>
          </w:tcPr>
          <w:p>
            <w:r>
              <w:t>Every dashboard grid, stepper, and table stacks to a single column with ≥ 44px touch targets by the phone tier; tablet gets an intermediate 2-column density, not the full desktop layout.</w:t>
            </w:r>
          </w:p>
        </w:tc>
      </w:tr>
      <w:tr>
        <w:tc>
          <w:tcPr>
            <w:tcW w:type="dxa" w:w="2736"/>
          </w:tcPr>
          <w:p>
            <w:r>
              <w:t>Buyer Portal (3.3)</w:t>
            </w:r>
          </w:p>
        </w:tc>
        <w:tc>
          <w:tcPr>
            <w:tcW w:type="dxa" w:w="2160"/>
          </w:tcPr>
          <w:p>
            <w:r>
              <w:t>Desktop-first, tablet-secondary</w:t>
            </w:r>
          </w:p>
        </w:tc>
        <w:tc>
          <w:tcPr>
            <w:tcW w:type="dxa" w:w="4752"/>
          </w:tcPr>
          <w:p>
            <w:r>
              <w:t>Dense stat/action grids step down to 2 columns at tablet before collapsing to 1 at phone; Compliance Docs table scrolls horizontally below tablet width.</w:t>
            </w:r>
          </w:p>
        </w:tc>
      </w:tr>
      <w:tr>
        <w:tc>
          <w:tcPr>
            <w:tcW w:type="dxa" w:w="2736"/>
          </w:tcPr>
          <w:p>
            <w:r>
              <w:t>Vendor Portal (3.4)</w:t>
            </w:r>
          </w:p>
        </w:tc>
        <w:tc>
          <w:tcPr>
            <w:tcW w:type="dxa" w:w="2160"/>
          </w:tcPr>
          <w:p>
            <w:r>
              <w:t>Desktop/tablet-first</w:t>
            </w:r>
          </w:p>
        </w:tc>
        <w:tc>
          <w:tcPr>
            <w:tcW w:type="dxa" w:w="4752"/>
          </w:tcPr>
          <w:p>
            <w:r>
              <w:t>Same 3-tier grid collapse as Buyer; storefront/catalogue screens assume a shop-counter tablet as the practical minimum.</w:t>
            </w:r>
          </w:p>
        </w:tc>
      </w:tr>
      <w:tr>
        <w:tc>
          <w:tcPr>
            <w:tcW w:type="dxa" w:w="2736"/>
          </w:tcPr>
          <w:p>
            <w:r>
              <w:t>Internal Operations — Control Centre + Logistics &amp; Fulfilment (3.5)</w:t>
            </w:r>
          </w:p>
        </w:tc>
        <w:tc>
          <w:tcPr>
            <w:tcW w:type="dxa" w:w="2160"/>
          </w:tcPr>
          <w:p>
            <w:r>
              <w:t>Split — CONFIRMED</w:t>
            </w:r>
          </w:p>
        </w:tc>
        <w:tc>
          <w:tcPr>
            <w:tcW w:type="dxa" w:w="4752"/>
          </w:tcPr>
          <w:p>
            <w:r>
              <w:t>Office-role screens (Dashboard, Formula Builder, Finance, Reporting, MoFA, User Admin) are tablet/desktop-first. Field-role screens (Logistics Dispatch, Proof of Pickup/Delivery, Trunking) are phone-first — confirmed by Emmanuel, 3 September 2026.</w:t>
            </w:r>
          </w:p>
        </w:tc>
      </w:tr>
    </w:tbl>
    <w:p>
      <w:r>
        <w:rPr>
          <w:b w:val="0"/>
          <w:i w:val="0"/>
        </w:rPr>
        <w:t>The top-level app navigation (Figs. 3–6) collapses to a menu icon below the phone breakpoint on every portal, rather than disappearing with no replacement — confirmed in the Stage 3 wireframes.</w:t>
      </w:r>
    </w:p>
    <w:p>
      <w:r>
        <w:rPr>
          <w:b w:val="0"/>
          <w:i/>
        </w:rPr>
        <w:t>USSD/SMS (Fig. 1, Shared Services) is unaffected by this section: it is a carrier-level protocol that renders identically on any GSM handset, so desktop/tablet/phone tiers do not apply to the farmer’s device on that channel — see the dedicated USSD/SMS flow wireframe.</w:t>
      </w:r>
    </w:p>
    <w:p>
      <w:pPr>
        <w:pStyle w:val="Heading1"/>
      </w:pPr>
      <w:r>
        <w:rPr>
          <w:b w:val="0"/>
          <w:i w:val="0"/>
        </w:rPr>
        <w:t>10. Super Admin Role &amp; Segregation of Duties (Added 3 September 2026)</w:t>
      </w:r>
    </w:p>
    <w:p>
      <w:r>
        <w:rPr>
          <w:b w:val="0"/>
          <w:i w:val="0"/>
        </w:rPr>
        <w:t>Closes a gap identified when reviewing the already-built Internal Operations "User &amp; Role Admin" screen (Stage 3/4): as built, that screen was scoped to the Admin/Finance role managing internal staff only, with no role able to manage accounts across all four portals, no audit logging, and no system-wide configuration screen — and Admin/Finance itself concentrated financial reconciliation and user/role administration in one role. PRD Section 3.2 / Section 5 now define Super Admin / Platform Admin as a seventh role and split Finance accordingly (see those sections for the authoritative definitions); this section records the resulting IA changes.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2592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Owning role</w:t>
            </w:r>
          </w:p>
        </w:tc>
        <w:tc>
          <w:tcPr>
            <w:tcW w:type="dxa" w:w="4752"/>
          </w:tcPr>
          <w:p>
            <w:r>
              <w:rPr>
                <w:b/>
              </w:rPr>
              <w:t>What changed</w:t>
            </w:r>
          </w:p>
        </w:tc>
      </w:tr>
      <w:tr>
        <w:tc>
          <w:tcPr>
            <w:tcW w:type="dxa" w:w="2592"/>
          </w:tcPr>
          <w:p>
            <w:r>
              <w:t>User &amp; Role Admin</w:t>
            </w:r>
          </w:p>
        </w:tc>
        <w:tc>
          <w:tcPr>
            <w:tcW w:type="dxa" w:w="2160"/>
          </w:tcPr>
          <w:p>
            <w:r>
              <w:t>Super Admin (was Admin/Finance)</w:t>
            </w:r>
          </w:p>
        </w:tc>
        <w:tc>
          <w:tcPr>
            <w:tcW w:type="dxa" w:w="4752"/>
          </w:tcPr>
          <w:p>
            <w:r>
              <w:t>Scope widened from internal staff only to full account management and role assignment/revocation across Farmer, Buyer, Vendor, and Internal Operations.</w:t>
            </w:r>
          </w:p>
        </w:tc>
      </w:tr>
      <w:tr>
        <w:tc>
          <w:tcPr>
            <w:tcW w:type="dxa" w:w="2592"/>
          </w:tcPr>
          <w:p>
            <w:r>
              <w:t>Audit Log</w:t>
            </w:r>
          </w:p>
        </w:tc>
        <w:tc>
          <w:tcPr>
            <w:tcW w:type="dxa" w:w="2160"/>
          </w:tcPr>
          <w:p>
            <w:r>
              <w:t>Super Admin</w:t>
            </w:r>
          </w:p>
        </w:tc>
        <w:tc>
          <w:tcPr>
            <w:tcW w:type="dxa" w:w="4752"/>
          </w:tcPr>
          <w:p>
            <w:r>
              <w:t>New screen. Visibility over every role/permission change and every financial action (commitment fee capture, settlement release, payout release), attributable to the acting user (PRD Section 5).</w:t>
            </w:r>
          </w:p>
        </w:tc>
      </w:tr>
      <w:tr>
        <w:tc>
          <w:tcPr>
            <w:tcW w:type="dxa" w:w="2592"/>
          </w:tcPr>
          <w:p>
            <w:r>
              <w:t>Registration Approval Queue</w:t>
            </w:r>
          </w:p>
        </w:tc>
        <w:tc>
          <w:tcPr>
            <w:tcW w:type="dxa" w:w="2160"/>
          </w:tcPr>
          <w:p>
            <w:r>
              <w:t>Super Admin</w:t>
            </w:r>
          </w:p>
        </w:tc>
        <w:tc>
          <w:tcPr>
            <w:tcW w:type="dxa" w:w="4752"/>
          </w:tcPr>
          <w:p>
            <w:r>
              <w:t>New screen. Owns reviewing and approving a Buyer's or Vendor's "pending review" registration (visible on their own registration screens, Figs. 4–5) — previously no internal screen owned this step.</w:t>
            </w:r>
          </w:p>
        </w:tc>
      </w:tr>
      <w:tr>
        <w:tc>
          <w:tcPr>
            <w:tcW w:type="dxa" w:w="2592"/>
          </w:tcPr>
          <w:p>
            <w:r>
              <w:t>Finance &amp; Reconciliation, Reporting, MoFA Data Exchange</w:t>
            </w:r>
          </w:p>
        </w:tc>
        <w:tc>
          <w:tcPr>
            <w:tcW w:type="dxa" w:w="2160"/>
          </w:tcPr>
          <w:p>
            <w:r>
              <w:t>Finance (was Admin/Finance)</w:t>
            </w:r>
          </w:p>
        </w:tc>
        <w:tc>
          <w:tcPr>
            <w:tcW w:type="dxa" w:w="4752"/>
          </w:tcPr>
          <w:p>
            <w:r>
              <w:t>Unchanged in function; role tag updated to Finance now that user/role administration has moved to Super Admin. Reporting and MoFA Data Exchange stay with Finance rather than moving to Super Admin because they are external/financial reporting duties, not internal governance — Super Admin's mandate is accounts, roles, and audit, not compliance reporting.</w:t>
            </w:r>
          </w:p>
        </w:tc>
      </w:tr>
    </w:tbl>
    <w:p>
      <w:r>
        <w:rPr>
          <w:b w:val="0"/>
          <w:i w:val="0"/>
        </w:rPr>
        <w:t>Field-role screens (Logistics Dispatch, Proof of Pickup/Delivery, Trunking) are unaffected by this amendment — they remain Logistics-owned and phone-first per the confirmed device-priority split (PRD Section 5.1).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t xml:space="preserve">Farm Master Ghana Limited — Confidential — Stage 2 Deliverable — Page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5A5A"/>
        <w:sz w:val="16"/>
        <w:szCs w:val="16"/>
      </w:rPr>
      <w:t xml:space="preserve"> of </w:t>
    </w:r>
    <w:r>
      <w:rPr>
        <w:color w:val="5A5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</w:pPr>
    <w:r>
      <w:rPr>
        <w:b/>
        <w:bCs/>
        <w:color w:val="5A5A5A"/>
        <w:sz w:val="16"/>
        <w:szCs w:val="16"/>
      </w:rPr>
      <w:t xml:space="preserve">FARM MASTER  |  INFORMATION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F6B3A" w:sz="8" w:space="4"/>
      </w:pBdr>
      <w:spacing w:after="160" w:before="320"/>
    </w:pPr>
    <w:rPr>
      <w:rFonts w:ascii="Calibri" w:cs="Calibri" w:eastAsia="Calibri" w:hAnsi="Calibri"/>
      <w:b/>
      <w:bCs/>
      <w:color w:val="1B3A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F6B3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</w:pPr>
    <w:rPr>
      <w:rFonts w:ascii="Calibri" w:cs="Calibri" w:eastAsia="Calibri" w:hAnsi="Calibri"/>
      <w:b/>
      <w:bCs/>
      <w:i/>
      <w:iCs/>
      <w:color w:val="1B3A2A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22f0755a166437264a0c9705a3c84682ab0dc94.png"/><Relationship Id="rId10" Type="http://schemas.openxmlformats.org/officeDocument/2006/relationships/image" Target="media/f03822533b94dc3f6c9715818b07cdd693eb008a.png"/><Relationship Id="rId11" Type="http://schemas.openxmlformats.org/officeDocument/2006/relationships/image" Target="media/981d3aa766060650441b171cf94444fe2f586705.png"/><Relationship Id="rId12" Type="http://schemas.openxmlformats.org/officeDocument/2006/relationships/image" Target="media/b4363248b941d2c2cd6e277fe2463e5a9feb5605.png"/><Relationship Id="rId13" Type="http://schemas.openxmlformats.org/officeDocument/2006/relationships/image" Target="media/74cc3a5817bcb4041191a28c075129c609ffb5cb.png"/><Relationship Id="rId14" Type="http://schemas.openxmlformats.org/officeDocument/2006/relationships/image" Target="media/e351121f4594da14e6afeecb095f4cdacdc8a540.png"/><Relationship Id="rId15" Type="http://schemas.openxmlformats.org/officeDocument/2006/relationships/image" Target="media/00dabb3cf52e091ed3be30ca266b6f6f6ad6a389.png"/><Relationship Id="rId16" Type="http://schemas.openxmlformats.org/officeDocument/2006/relationships/image" Target="media/93c157f2c76ce8e918a25d5008821336de07edd4.png"/><Relationship Id="rId17" Type="http://schemas.openxmlformats.org/officeDocument/2006/relationships/image" Target="media/9a045a27b05d453ad8a789f156cef81e95fa1309.png"/><Relationship Id="rId1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2026-09-02T09:32:36.534Z</dcterms:created>
  <dcterms:modified xsi:type="dcterms:W3CDTF">2026-09-02T09:32:36.534Z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