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All four portals are visually designed under one confirmed system, and all three highest-stakes flows named in the workflow guide are built and tested in Stage 5 Interactive Prototype/ (buyer commitment-fee payment, farmer opportunity acceptance + production formula, vendor mechanisation request — the last of these now includes a date-conflict approval check), all awaiting Emmanuel's review. A Super Admin / Platform Admin role was added 3 September 2026 (PRD Section 3/5), separating user/role administration and audit-log oversight from Finance; the Internal Operations wireframe and visual design both grew from 12 to 14 screens to add Audit Log and Registration Approval Queue and to widen User &amp; Role Admin to cross-portal scope. Rates used in the Stage 5 flows are provisional configuration values pending Emmanuel's final sign-off (PRD Section 10). Next: Stage 6 (Build) once these are signed off — the Super Admin role, its audit logging, and the Finance/Super Admin segregation of duties are to be implemented as foundational, not retrofitted later.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